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b/>
          <w:bCs/>
          <w:sz w:val="32"/>
        </w:rPr>
      </w:pPr>
      <w:r>
        <w:rPr>
          <w:rFonts w:hint="eastAsia"/>
          <w:b/>
          <w:bCs/>
          <w:sz w:val="32"/>
        </w:rPr>
        <w:t>上海财经大学</w:t>
      </w:r>
    </w:p>
    <w:p>
      <w:pPr>
        <w:spacing w:line="240" w:lineRule="atLeast"/>
        <w:jc w:val="center"/>
        <w:rPr>
          <w:rFonts w:hint="eastAsia"/>
          <w:b/>
          <w:bCs/>
          <w:sz w:val="32"/>
        </w:rPr>
      </w:pPr>
      <w:bookmarkStart w:id="0" w:name="_Hlk102561248"/>
      <w:r>
        <w:rPr>
          <w:rFonts w:hint="eastAsia"/>
          <w:b/>
          <w:bCs/>
          <w:sz w:val="32"/>
        </w:rPr>
        <w:t>数学与应用数学+经济学</w:t>
      </w:r>
      <w:bookmarkEnd w:id="0"/>
      <w:bookmarkStart w:id="1" w:name="_Hlk102561269"/>
      <w:r>
        <w:rPr>
          <w:rFonts w:hint="eastAsia"/>
          <w:b/>
          <w:bCs/>
          <w:sz w:val="32"/>
        </w:rPr>
        <w:t>双学士学位</w:t>
      </w:r>
      <w:bookmarkEnd w:id="1"/>
      <w:r>
        <w:rPr>
          <w:rFonts w:hint="eastAsia"/>
          <w:b/>
          <w:bCs/>
          <w:sz w:val="32"/>
        </w:rPr>
        <w:t>培养方案</w:t>
      </w:r>
    </w:p>
    <w:p>
      <w:pPr>
        <w:spacing w:line="240" w:lineRule="atLeast"/>
        <w:jc w:val="center"/>
        <w:rPr>
          <w:rFonts w:hint="eastAsia"/>
          <w:b/>
          <w:bCs/>
          <w:sz w:val="32"/>
        </w:rPr>
      </w:pPr>
    </w:p>
    <w:p>
      <w:pPr>
        <w:spacing w:line="360" w:lineRule="auto"/>
        <w:rPr>
          <w:rFonts w:ascii="黑体" w:eastAsia="黑体"/>
          <w:b/>
          <w:sz w:val="24"/>
        </w:rPr>
      </w:pPr>
      <w:r>
        <w:rPr>
          <w:rFonts w:hint="eastAsia" w:ascii="黑体" w:eastAsia="黑体"/>
          <w:b/>
          <w:sz w:val="24"/>
        </w:rPr>
        <w:t>一、指导思想</w:t>
      </w:r>
    </w:p>
    <w:p>
      <w:pPr>
        <w:spacing w:line="360" w:lineRule="auto"/>
        <w:ind w:firstLine="420"/>
        <w:rPr>
          <w:rFonts w:ascii="宋体" w:hAnsi="宋体"/>
          <w:szCs w:val="21"/>
        </w:rPr>
      </w:pPr>
      <w:r>
        <w:rPr>
          <w:rFonts w:hint="eastAsia" w:ascii="宋体" w:hAnsi="宋体"/>
          <w:szCs w:val="21"/>
        </w:rPr>
        <w:t>全面贯彻执行党的教育方针，适应经济、社会、科技发展对跨学科的数学与经济学拔尖创新人才的需要；注重学生知识、能力和素质的协调发展，坚持“重基础、强特色”，办好“数学与应用数学+经济学”</w:t>
      </w:r>
      <w:r>
        <w:rPr>
          <w:rFonts w:hint="eastAsia"/>
          <w:b/>
          <w:bCs/>
          <w:sz w:val="32"/>
        </w:rPr>
        <w:t xml:space="preserve"> </w:t>
      </w:r>
      <w:r>
        <w:rPr>
          <w:rFonts w:hint="eastAsia" w:ascii="宋体" w:hAnsi="宋体"/>
          <w:szCs w:val="21"/>
        </w:rPr>
        <w:t xml:space="preserve">双学士学位专业；夯实学生数理金融基础，拓宽专业口径，突出“数学+财经”交叉融合，注重复合型拔尖财经数学人才的培养。 </w:t>
      </w:r>
    </w:p>
    <w:p>
      <w:pPr>
        <w:spacing w:line="360" w:lineRule="auto"/>
        <w:ind w:firstLine="420"/>
        <w:rPr>
          <w:rFonts w:ascii="宋体" w:hAnsi="宋体"/>
          <w:szCs w:val="21"/>
        </w:rPr>
      </w:pPr>
    </w:p>
    <w:p>
      <w:pPr>
        <w:spacing w:line="360" w:lineRule="auto"/>
        <w:rPr>
          <w:rFonts w:ascii="黑体" w:eastAsia="黑体"/>
          <w:b/>
          <w:sz w:val="24"/>
        </w:rPr>
      </w:pPr>
      <w:r>
        <w:rPr>
          <w:rFonts w:hint="eastAsia" w:ascii="黑体" w:eastAsia="黑体"/>
          <w:b/>
          <w:sz w:val="24"/>
        </w:rPr>
        <w:t>二、专业培养目标</w:t>
      </w:r>
    </w:p>
    <w:p>
      <w:pPr>
        <w:spacing w:line="360" w:lineRule="auto"/>
        <w:ind w:firstLine="420"/>
        <w:rPr>
          <w:rFonts w:ascii="宋体" w:hAnsi="宋体"/>
          <w:szCs w:val="21"/>
        </w:rPr>
      </w:pPr>
      <w:r>
        <w:rPr>
          <w:rFonts w:hint="eastAsia" w:ascii="宋体" w:hAnsi="宋体"/>
          <w:szCs w:val="21"/>
        </w:rPr>
        <w:t xml:space="preserve">培养学生具有新时代中国特色社会主义价值观、家国情怀、理想信念、道德修养和法治意识；掌握数学科学的基础理论、基本思想和方法，具备良好的数学修养和创新意识，系统掌握数理经济和数理金融理论，接受科学理论和应用研究的严格训练，具有运用数理分析方法解决经济问题的能力，熟悉计算机基本原理，具备计算机应用的基本技能。培养德智体美劳全面发展、数学基础扎实、具有经济金融专长、创新能力强和国际视野宽广的高素质人才。 </w:t>
      </w:r>
    </w:p>
    <w:p>
      <w:pPr>
        <w:spacing w:line="360" w:lineRule="auto"/>
        <w:ind w:firstLine="420"/>
        <w:rPr>
          <w:rFonts w:ascii="宋体" w:hAnsi="宋体"/>
          <w:szCs w:val="21"/>
        </w:rPr>
      </w:pPr>
    </w:p>
    <w:p>
      <w:pPr>
        <w:spacing w:line="360" w:lineRule="auto"/>
        <w:rPr>
          <w:rFonts w:ascii="黑体" w:eastAsia="黑体"/>
          <w:b/>
          <w:sz w:val="24"/>
        </w:rPr>
      </w:pPr>
      <w:r>
        <w:rPr>
          <w:rFonts w:hint="eastAsia" w:ascii="黑体" w:eastAsia="黑体"/>
          <w:b/>
          <w:sz w:val="24"/>
        </w:rPr>
        <w:t>三、专业培养要求</w:t>
      </w:r>
    </w:p>
    <w:p>
      <w:pPr>
        <w:spacing w:line="360" w:lineRule="auto"/>
        <w:ind w:firstLine="420"/>
        <w:rPr>
          <w:rFonts w:ascii="宋体" w:hAnsi="宋体"/>
          <w:szCs w:val="21"/>
        </w:rPr>
      </w:pPr>
      <w:r>
        <w:rPr>
          <w:rFonts w:hint="eastAsia" w:ascii="宋体" w:hAnsi="宋体"/>
          <w:szCs w:val="21"/>
        </w:rPr>
        <w:t>本专业主要学习应用数学、经济学的基础理论和基本方法，使学生受到严格的数学、现代经济学、金融学、计算机等方面的训练，受到科学研究和应用研究的严格训练，掌握较扎实的数理金融基本知识，具备建立数学模型、金融数据处理的能力，能较好地解决经济、金融、财务、统计等方面理论和应用问题。</w:t>
      </w:r>
    </w:p>
    <w:p>
      <w:pPr>
        <w:spacing w:line="360" w:lineRule="auto"/>
        <w:ind w:firstLine="420"/>
        <w:rPr>
          <w:rFonts w:ascii="宋体" w:hAnsi="宋体"/>
          <w:szCs w:val="21"/>
        </w:rPr>
      </w:pPr>
      <w:r>
        <w:rPr>
          <w:rFonts w:hint="eastAsia" w:ascii="宋体" w:hAnsi="宋体"/>
          <w:szCs w:val="21"/>
        </w:rPr>
        <w:t>具体地说，毕业生应具备以下的知识结构和能力：</w:t>
      </w:r>
    </w:p>
    <w:p>
      <w:pPr>
        <w:numPr>
          <w:ilvl w:val="0"/>
          <w:numId w:val="1"/>
        </w:numPr>
        <w:spacing w:line="360" w:lineRule="auto"/>
        <w:rPr>
          <w:rFonts w:ascii="宋体" w:hAnsi="宋体"/>
          <w:szCs w:val="21"/>
        </w:rPr>
      </w:pPr>
      <w:r>
        <w:rPr>
          <w:rFonts w:hint="eastAsia" w:ascii="宋体" w:hAnsi="宋体"/>
        </w:rPr>
        <w:t>培养学生具有新时代中国特色社会主义价值观、家国情怀、理想信念、道德修养和法治意识；</w:t>
      </w:r>
    </w:p>
    <w:p>
      <w:pPr>
        <w:numPr>
          <w:ilvl w:val="0"/>
          <w:numId w:val="1"/>
        </w:numPr>
        <w:spacing w:line="360" w:lineRule="auto"/>
        <w:rPr>
          <w:rFonts w:ascii="宋体" w:hAnsi="宋体"/>
          <w:szCs w:val="21"/>
        </w:rPr>
      </w:pPr>
      <w:r>
        <w:rPr>
          <w:rFonts w:hint="eastAsia" w:ascii="宋体" w:hAnsi="宋体"/>
          <w:szCs w:val="21"/>
        </w:rPr>
        <w:t xml:space="preserve">具有扎实的数学、经济学基础，接受定量分析方法、分析工具和基本研究范式的训练； </w:t>
      </w:r>
    </w:p>
    <w:p>
      <w:pPr>
        <w:numPr>
          <w:ilvl w:val="0"/>
          <w:numId w:val="1"/>
        </w:numPr>
        <w:spacing w:line="360" w:lineRule="auto"/>
        <w:rPr>
          <w:rFonts w:ascii="宋体" w:hAnsi="宋体"/>
          <w:szCs w:val="21"/>
        </w:rPr>
      </w:pPr>
      <w:r>
        <w:rPr>
          <w:rFonts w:hint="eastAsia" w:ascii="宋体" w:hAnsi="宋体"/>
          <w:szCs w:val="21"/>
        </w:rPr>
        <w:t>能够运用数学知识创造性地解决实际问题，尤其是经济、金融和管理方面的应用，建立数学模型（经济、金融、财务、统计等）；</w:t>
      </w:r>
    </w:p>
    <w:p>
      <w:pPr>
        <w:numPr>
          <w:ilvl w:val="0"/>
          <w:numId w:val="1"/>
        </w:numPr>
        <w:spacing w:line="360" w:lineRule="auto"/>
        <w:rPr>
          <w:rFonts w:ascii="宋体" w:hAnsi="宋体"/>
          <w:szCs w:val="21"/>
        </w:rPr>
      </w:pPr>
      <w:r>
        <w:rPr>
          <w:rFonts w:hint="eastAsia" w:ascii="宋体" w:hAnsi="宋体"/>
          <w:szCs w:val="21"/>
        </w:rPr>
        <w:t>掌握计算机的基本原理，能熟练操作计算机，能熟练使用一些常用语言、工具，能编写简单的应用程序；</w:t>
      </w:r>
    </w:p>
    <w:p>
      <w:pPr>
        <w:numPr>
          <w:ilvl w:val="0"/>
          <w:numId w:val="1"/>
        </w:numPr>
        <w:spacing w:line="360" w:lineRule="auto"/>
        <w:rPr>
          <w:rFonts w:ascii="宋体" w:hAnsi="宋体"/>
          <w:szCs w:val="21"/>
        </w:rPr>
      </w:pPr>
      <w:r>
        <w:rPr>
          <w:rFonts w:hint="eastAsia" w:ascii="宋体" w:hAnsi="宋体"/>
          <w:szCs w:val="21"/>
        </w:rPr>
        <w:t>掌握资料查询、文献检索及获取技术信息的基本方法，具有较强的自学能力和科研能力；</w:t>
      </w:r>
    </w:p>
    <w:p>
      <w:pPr>
        <w:numPr>
          <w:ilvl w:val="0"/>
          <w:numId w:val="1"/>
        </w:numPr>
        <w:spacing w:line="360" w:lineRule="auto"/>
        <w:rPr>
          <w:rFonts w:ascii="宋体" w:hAnsi="宋体"/>
          <w:szCs w:val="21"/>
        </w:rPr>
      </w:pPr>
      <w:r>
        <w:rPr>
          <w:rFonts w:hint="eastAsia" w:ascii="宋体" w:hAnsi="宋体"/>
          <w:szCs w:val="21"/>
        </w:rPr>
        <w:t>了解数学学科和经济金融学科的某些新发展和应用前景；</w:t>
      </w:r>
    </w:p>
    <w:p>
      <w:pPr>
        <w:numPr>
          <w:ilvl w:val="0"/>
          <w:numId w:val="1"/>
        </w:numPr>
        <w:spacing w:line="360" w:lineRule="auto"/>
        <w:rPr>
          <w:rFonts w:ascii="黑体" w:eastAsia="黑体"/>
          <w:b/>
          <w:sz w:val="24"/>
        </w:rPr>
      </w:pPr>
      <w:r>
        <w:rPr>
          <w:rFonts w:hint="eastAsia" w:ascii="宋体" w:hAnsi="宋体"/>
          <w:szCs w:val="21"/>
        </w:rPr>
        <w:t>掌握一门外语。</w:t>
      </w:r>
    </w:p>
    <w:p>
      <w:pPr>
        <w:spacing w:line="360" w:lineRule="auto"/>
        <w:ind w:left="780"/>
        <w:rPr>
          <w:rFonts w:ascii="黑体" w:eastAsia="黑体"/>
          <w:b/>
          <w:sz w:val="24"/>
        </w:rPr>
      </w:pPr>
    </w:p>
    <w:p>
      <w:pPr>
        <w:spacing w:line="360" w:lineRule="auto"/>
        <w:rPr>
          <w:rFonts w:ascii="黑体" w:eastAsia="黑体"/>
          <w:b/>
          <w:sz w:val="24"/>
        </w:rPr>
      </w:pPr>
      <w:r>
        <w:rPr>
          <w:rFonts w:hint="eastAsia" w:ascii="黑体" w:eastAsia="黑体"/>
          <w:b/>
          <w:sz w:val="24"/>
        </w:rPr>
        <w:t>四、学制</w:t>
      </w:r>
    </w:p>
    <w:p>
      <w:pPr>
        <w:spacing w:line="360" w:lineRule="auto"/>
        <w:ind w:firstLine="420"/>
        <w:rPr>
          <w:rFonts w:ascii="宋体" w:hAnsi="宋体"/>
          <w:szCs w:val="21"/>
        </w:rPr>
      </w:pPr>
      <w:r>
        <w:rPr>
          <w:rFonts w:hint="eastAsia" w:ascii="宋体" w:hAnsi="宋体"/>
          <w:szCs w:val="21"/>
        </w:rPr>
        <w:t>本科教育实行四学年的基本修业年限，并实行弹性修业年限。凡按教学计划和有关规定，提前学完全部课程，取得相应的学分，符合毕业条件者，允许提前毕业，或副修另一专业的主干课程。学生在符合有关规定的条件下，可延长在校学习期限但最长不得超过两年延长期。详见《上海财经大学本科学生学籍管理实施细则》、《上海财经大学本科辅修专业、辅修学位教育试行条例》等。</w:t>
      </w:r>
    </w:p>
    <w:p>
      <w:pPr>
        <w:spacing w:line="360" w:lineRule="auto"/>
        <w:ind w:firstLine="420"/>
        <w:rPr>
          <w:rFonts w:hint="eastAsia" w:ascii="宋体" w:hAnsi="宋体"/>
          <w:szCs w:val="21"/>
        </w:rPr>
      </w:pPr>
    </w:p>
    <w:p>
      <w:pPr>
        <w:spacing w:line="360" w:lineRule="auto"/>
        <w:rPr>
          <w:rFonts w:ascii="黑体" w:eastAsia="黑体"/>
          <w:b/>
          <w:sz w:val="24"/>
        </w:rPr>
      </w:pPr>
      <w:r>
        <w:rPr>
          <w:rFonts w:hint="eastAsia" w:ascii="黑体" w:eastAsia="黑体"/>
          <w:b/>
          <w:sz w:val="24"/>
        </w:rPr>
        <w:t>五、教学计划</w:t>
      </w:r>
    </w:p>
    <w:p>
      <w:pPr>
        <w:spacing w:line="360" w:lineRule="auto"/>
        <w:ind w:firstLine="480" w:firstLineChars="200"/>
        <w:rPr>
          <w:rFonts w:ascii="黑体" w:eastAsia="黑体"/>
          <w:sz w:val="24"/>
        </w:rPr>
      </w:pPr>
      <w:r>
        <w:rPr>
          <w:rFonts w:hint="eastAsia" w:ascii="黑体" w:eastAsia="黑体"/>
          <w:sz w:val="24"/>
        </w:rPr>
        <w:t>具体参见附件。</w:t>
      </w:r>
    </w:p>
    <w:p>
      <w:pPr>
        <w:spacing w:line="360" w:lineRule="auto"/>
        <w:ind w:firstLine="482" w:firstLineChars="200"/>
        <w:rPr>
          <w:rFonts w:ascii="黑体" w:eastAsia="黑体"/>
          <w:b/>
          <w:sz w:val="24"/>
        </w:rPr>
      </w:pPr>
      <w:r>
        <w:rPr>
          <w:rFonts w:hint="eastAsia" w:ascii="黑体" w:eastAsia="黑体"/>
          <w:b/>
          <w:sz w:val="24"/>
        </w:rPr>
        <w:t>学分、学时分配情况大体如下：</w:t>
      </w:r>
    </w:p>
    <w:p>
      <w:pPr>
        <w:jc w:val="center"/>
        <w:rPr>
          <w:b/>
          <w:szCs w:val="21"/>
        </w:rPr>
      </w:pPr>
      <w:r>
        <w:rPr>
          <w:rFonts w:hint="eastAsia"/>
          <w:b/>
          <w:szCs w:val="21"/>
        </w:rPr>
        <w:t>表1    学分、学时分配表</w:t>
      </w:r>
    </w:p>
    <w:tbl>
      <w:tblPr>
        <w:tblStyle w:val="6"/>
        <w:tblW w:w="8347" w:type="dxa"/>
        <w:tblInd w:w="93" w:type="dxa"/>
        <w:tblLayout w:type="fixed"/>
        <w:tblCellMar>
          <w:top w:w="0" w:type="dxa"/>
          <w:left w:w="108" w:type="dxa"/>
          <w:bottom w:w="0" w:type="dxa"/>
          <w:right w:w="108" w:type="dxa"/>
        </w:tblCellMar>
      </w:tblPr>
      <w:tblGrid>
        <w:gridCol w:w="536"/>
        <w:gridCol w:w="3724"/>
        <w:gridCol w:w="1300"/>
        <w:gridCol w:w="667"/>
        <w:gridCol w:w="1181"/>
        <w:gridCol w:w="939"/>
      </w:tblGrid>
      <w:tr>
        <w:tblPrEx>
          <w:tblCellMar>
            <w:top w:w="0" w:type="dxa"/>
            <w:left w:w="108" w:type="dxa"/>
            <w:bottom w:w="0" w:type="dxa"/>
            <w:right w:w="108" w:type="dxa"/>
          </w:tblCellMar>
        </w:tblPrEx>
        <w:trPr>
          <w:trHeight w:val="396" w:hRule="atLeast"/>
        </w:trPr>
        <w:tc>
          <w:tcPr>
            <w:tcW w:w="42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课程类别</w:t>
            </w:r>
          </w:p>
        </w:tc>
        <w:tc>
          <w:tcPr>
            <w:tcW w:w="1967"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学分/学时</w:t>
            </w:r>
          </w:p>
        </w:tc>
        <w:tc>
          <w:tcPr>
            <w:tcW w:w="212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占总学分百分比</w:t>
            </w:r>
          </w:p>
        </w:tc>
      </w:tr>
      <w:tr>
        <w:tblPrEx>
          <w:tblCellMar>
            <w:top w:w="0" w:type="dxa"/>
            <w:left w:w="108" w:type="dxa"/>
            <w:bottom w:w="0" w:type="dxa"/>
            <w:right w:w="108" w:type="dxa"/>
          </w:tblCellMar>
        </w:tblPrEx>
        <w:trPr>
          <w:trHeight w:val="396" w:hRule="atLeast"/>
        </w:trPr>
        <w:tc>
          <w:tcPr>
            <w:tcW w:w="536"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必修课</w:t>
            </w:r>
          </w:p>
        </w:tc>
        <w:tc>
          <w:tcPr>
            <w:tcW w:w="372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通识教育课</w:t>
            </w:r>
          </w:p>
        </w:tc>
        <w:tc>
          <w:tcPr>
            <w:tcW w:w="130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8</w:t>
            </w:r>
          </w:p>
        </w:tc>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小计</w:t>
            </w:r>
            <w:r>
              <w:rPr>
                <w:rFonts w:ascii="宋体" w:hAnsi="宋体" w:cs="宋体"/>
                <w:color w:val="000000"/>
                <w:kern w:val="0"/>
                <w:sz w:val="22"/>
                <w:szCs w:val="22"/>
              </w:rPr>
              <w:t>1</w:t>
            </w:r>
            <w:r>
              <w:rPr>
                <w:rFonts w:hint="eastAsia" w:ascii="宋体" w:hAnsi="宋体" w:cs="宋体"/>
                <w:color w:val="000000"/>
                <w:kern w:val="0"/>
                <w:sz w:val="22"/>
                <w:szCs w:val="22"/>
                <w:lang w:val="en-US" w:eastAsia="zh-CN"/>
              </w:rPr>
              <w:t>30</w:t>
            </w:r>
          </w:p>
        </w:tc>
        <w:tc>
          <w:tcPr>
            <w:tcW w:w="118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32.04</w:t>
            </w:r>
            <w:r>
              <w:rPr>
                <w:rFonts w:hint="eastAsia" w:ascii="宋体" w:hAnsi="宋体" w:cs="宋体"/>
                <w:color w:val="000000"/>
                <w:kern w:val="0"/>
                <w:sz w:val="22"/>
                <w:szCs w:val="22"/>
              </w:rPr>
              <w:t>%</w:t>
            </w:r>
          </w:p>
        </w:tc>
        <w:tc>
          <w:tcPr>
            <w:tcW w:w="93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小计</w:t>
            </w:r>
            <w:r>
              <w:rPr>
                <w:rFonts w:ascii="宋体" w:hAnsi="宋体" w:cs="宋体"/>
                <w:color w:val="000000"/>
                <w:kern w:val="0"/>
                <w:sz w:val="22"/>
                <w:szCs w:val="22"/>
              </w:rPr>
              <w:t>71.</w:t>
            </w:r>
            <w:r>
              <w:rPr>
                <w:rFonts w:hint="eastAsia" w:ascii="宋体" w:hAnsi="宋体" w:cs="宋体"/>
                <w:color w:val="000000"/>
                <w:kern w:val="0"/>
                <w:sz w:val="22"/>
                <w:szCs w:val="22"/>
                <w:lang w:val="en-US" w:eastAsia="zh-CN"/>
              </w:rPr>
              <w:t>8</w:t>
            </w:r>
            <w:r>
              <w:rPr>
                <w:rFonts w:hint="eastAsia" w:ascii="宋体" w:hAnsi="宋体" w:cs="宋体"/>
                <w:color w:val="000000"/>
                <w:kern w:val="0"/>
                <w:sz w:val="22"/>
                <w:szCs w:val="22"/>
              </w:rPr>
              <w:t>%</w:t>
            </w:r>
          </w:p>
        </w:tc>
      </w:tr>
      <w:tr>
        <w:tblPrEx>
          <w:tblCellMar>
            <w:top w:w="0" w:type="dxa"/>
            <w:left w:w="108" w:type="dxa"/>
            <w:bottom w:w="0" w:type="dxa"/>
            <w:right w:w="108" w:type="dxa"/>
          </w:tblCellMar>
        </w:tblPrEx>
        <w:trPr>
          <w:trHeight w:val="396" w:hRule="atLeast"/>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72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学科共同课</w:t>
            </w: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16</w:t>
            </w:r>
          </w:p>
        </w:tc>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r>
              <w:rPr>
                <w:rFonts w:hint="eastAsia" w:ascii="宋体" w:hAnsi="宋体" w:cs="宋体"/>
                <w:color w:val="000000"/>
                <w:kern w:val="0"/>
                <w:sz w:val="22"/>
                <w:szCs w:val="22"/>
                <w:lang w:val="en-US" w:eastAsia="zh-CN"/>
              </w:rPr>
              <w:t>84</w:t>
            </w:r>
            <w:r>
              <w:rPr>
                <w:rFonts w:hint="eastAsia" w:ascii="宋体" w:hAnsi="宋体" w:cs="宋体"/>
                <w:color w:val="000000"/>
                <w:kern w:val="0"/>
                <w:sz w:val="22"/>
                <w:szCs w:val="22"/>
              </w:rPr>
              <w:t>%</w:t>
            </w: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6" w:hRule="atLeast"/>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72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专业课</w:t>
            </w: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29</w:t>
            </w:r>
          </w:p>
        </w:tc>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16</w:t>
            </w:r>
            <w:r>
              <w:rPr>
                <w:rFonts w:hint="eastAsia" w:ascii="宋体" w:hAnsi="宋体" w:cs="宋体"/>
                <w:color w:val="000000"/>
                <w:kern w:val="0"/>
                <w:sz w:val="22"/>
                <w:szCs w:val="22"/>
              </w:rPr>
              <w:t>．</w:t>
            </w:r>
            <w:r>
              <w:rPr>
                <w:rFonts w:hint="eastAsia" w:ascii="宋体" w:hAnsi="宋体" w:cs="宋体"/>
                <w:color w:val="000000"/>
                <w:kern w:val="0"/>
                <w:sz w:val="22"/>
                <w:szCs w:val="22"/>
                <w:lang w:val="en-US" w:eastAsia="zh-CN"/>
              </w:rPr>
              <w:t>02</w:t>
            </w:r>
            <w:r>
              <w:rPr>
                <w:rFonts w:hint="eastAsia" w:ascii="宋体" w:hAnsi="宋体" w:cs="宋体"/>
                <w:color w:val="000000"/>
                <w:kern w:val="0"/>
                <w:sz w:val="22"/>
                <w:szCs w:val="22"/>
              </w:rPr>
              <w:t>%</w:t>
            </w: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6" w:hRule="atLeast"/>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72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第二课堂、毕业实习与毕业论文</w:t>
            </w: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14.92</w:t>
            </w:r>
            <w:r>
              <w:rPr>
                <w:rFonts w:hint="eastAsia" w:ascii="宋体" w:hAnsi="宋体" w:cs="宋体"/>
                <w:color w:val="000000"/>
                <w:kern w:val="0"/>
                <w:sz w:val="22"/>
                <w:szCs w:val="22"/>
              </w:rPr>
              <w:t>%</w:t>
            </w: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6" w:hRule="atLeast"/>
        </w:trPr>
        <w:tc>
          <w:tcPr>
            <w:tcW w:w="536"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选修课</w:t>
            </w:r>
          </w:p>
        </w:tc>
        <w:tc>
          <w:tcPr>
            <w:tcW w:w="372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通识教育课</w:t>
            </w: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小计</w:t>
            </w:r>
            <w:r>
              <w:rPr>
                <w:rFonts w:ascii="宋体" w:hAnsi="宋体" w:cs="宋体"/>
                <w:color w:val="000000"/>
                <w:kern w:val="0"/>
                <w:sz w:val="22"/>
                <w:szCs w:val="22"/>
              </w:rPr>
              <w:t>5</w:t>
            </w:r>
            <w:r>
              <w:rPr>
                <w:rFonts w:hint="eastAsia" w:ascii="宋体" w:hAnsi="宋体" w:cs="宋体"/>
                <w:color w:val="000000"/>
                <w:kern w:val="0"/>
                <w:sz w:val="22"/>
                <w:szCs w:val="22"/>
              </w:rPr>
              <w:t>1</w:t>
            </w:r>
          </w:p>
        </w:tc>
        <w:tc>
          <w:tcPr>
            <w:tcW w:w="118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4.97</w:t>
            </w:r>
            <w:r>
              <w:rPr>
                <w:rFonts w:hint="eastAsia" w:ascii="宋体" w:hAnsi="宋体" w:cs="宋体"/>
                <w:color w:val="000000"/>
                <w:kern w:val="0"/>
                <w:sz w:val="22"/>
                <w:szCs w:val="22"/>
              </w:rPr>
              <w:t>%</w:t>
            </w:r>
          </w:p>
        </w:tc>
        <w:tc>
          <w:tcPr>
            <w:tcW w:w="93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小计</w:t>
            </w:r>
            <w:r>
              <w:rPr>
                <w:rFonts w:ascii="宋体" w:hAnsi="宋体" w:cs="宋体"/>
                <w:color w:val="000000"/>
                <w:kern w:val="0"/>
                <w:sz w:val="22"/>
                <w:szCs w:val="22"/>
              </w:rPr>
              <w:t>28.</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w:t>
            </w:r>
          </w:p>
        </w:tc>
      </w:tr>
      <w:tr>
        <w:tblPrEx>
          <w:tblCellMar>
            <w:top w:w="0" w:type="dxa"/>
            <w:left w:w="108" w:type="dxa"/>
            <w:bottom w:w="0" w:type="dxa"/>
            <w:right w:w="108" w:type="dxa"/>
          </w:tblCellMar>
        </w:tblPrEx>
        <w:trPr>
          <w:trHeight w:val="396" w:hRule="atLeast"/>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72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学科共同课</w:t>
            </w: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r>
              <w:rPr>
                <w:rFonts w:hint="eastAsia" w:ascii="宋体" w:hAnsi="宋体" w:cs="宋体"/>
                <w:color w:val="000000"/>
                <w:kern w:val="0"/>
                <w:sz w:val="22"/>
                <w:szCs w:val="22"/>
                <w:lang w:val="en-US" w:eastAsia="zh-CN"/>
              </w:rPr>
              <w:t>63</w:t>
            </w:r>
            <w:r>
              <w:rPr>
                <w:rFonts w:hint="eastAsia" w:ascii="宋体" w:hAnsi="宋体" w:cs="宋体"/>
                <w:color w:val="000000"/>
                <w:kern w:val="0"/>
                <w:sz w:val="22"/>
                <w:szCs w:val="22"/>
              </w:rPr>
              <w:t>%</w:t>
            </w: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6" w:hRule="atLeast"/>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72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专业课</w:t>
            </w: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15</w:t>
            </w:r>
          </w:p>
        </w:tc>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r>
              <w:rPr>
                <w:rFonts w:hint="eastAsia" w:ascii="宋体" w:hAnsi="宋体" w:cs="宋体"/>
                <w:color w:val="000000"/>
                <w:kern w:val="0"/>
                <w:sz w:val="22"/>
                <w:szCs w:val="22"/>
                <w:lang w:val="en-US" w:eastAsia="zh-CN"/>
              </w:rPr>
              <w:t>29</w:t>
            </w:r>
            <w:r>
              <w:rPr>
                <w:rFonts w:hint="eastAsia" w:ascii="宋体" w:hAnsi="宋体" w:cs="宋体"/>
                <w:color w:val="000000"/>
                <w:kern w:val="0"/>
                <w:sz w:val="22"/>
                <w:szCs w:val="22"/>
              </w:rPr>
              <w:t>%</w:t>
            </w: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6" w:hRule="atLeast"/>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72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个性化培养课</w:t>
            </w: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15</w:t>
            </w:r>
          </w:p>
        </w:tc>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r>
              <w:rPr>
                <w:rFonts w:hint="eastAsia" w:ascii="宋体" w:hAnsi="宋体" w:cs="宋体"/>
                <w:color w:val="000000"/>
                <w:kern w:val="0"/>
                <w:sz w:val="22"/>
                <w:szCs w:val="22"/>
                <w:lang w:val="en-US" w:eastAsia="zh-CN"/>
              </w:rPr>
              <w:t>29</w:t>
            </w:r>
            <w:r>
              <w:rPr>
                <w:rFonts w:hint="eastAsia" w:ascii="宋体" w:hAnsi="宋体" w:cs="宋体"/>
                <w:color w:val="000000"/>
                <w:kern w:val="0"/>
                <w:sz w:val="22"/>
                <w:szCs w:val="22"/>
              </w:rPr>
              <w:t>%</w:t>
            </w: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96" w:hRule="atLeast"/>
        </w:trPr>
        <w:tc>
          <w:tcPr>
            <w:tcW w:w="42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毕业要求总合计</w:t>
            </w:r>
          </w:p>
        </w:tc>
        <w:tc>
          <w:tcPr>
            <w:tcW w:w="1967"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18</w:t>
            </w:r>
            <w:r>
              <w:rPr>
                <w:rFonts w:hint="eastAsia" w:ascii="宋体" w:hAnsi="宋体" w:cs="宋体"/>
                <w:color w:val="000000"/>
                <w:kern w:val="0"/>
                <w:sz w:val="22"/>
                <w:szCs w:val="22"/>
                <w:lang w:val="en-US" w:eastAsia="zh-CN"/>
              </w:rPr>
              <w:t>1</w:t>
            </w:r>
          </w:p>
        </w:tc>
        <w:tc>
          <w:tcPr>
            <w:tcW w:w="212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r>
    </w:tbl>
    <w:p>
      <w:pPr>
        <w:jc w:val="center"/>
        <w:rPr>
          <w:b/>
          <w:szCs w:val="21"/>
        </w:rPr>
      </w:pPr>
    </w:p>
    <w:p>
      <w:pPr>
        <w:ind w:firstLine="420"/>
        <w:rPr>
          <w:rFonts w:ascii="宋体" w:hAnsi="宋体"/>
          <w:b/>
          <w:szCs w:val="21"/>
        </w:rPr>
      </w:pPr>
    </w:p>
    <w:p>
      <w:pPr>
        <w:spacing w:line="360" w:lineRule="auto"/>
        <w:ind w:firstLine="482" w:firstLineChars="200"/>
        <w:rPr>
          <w:rFonts w:hint="eastAsia" w:ascii="黑体" w:eastAsia="黑体"/>
          <w:b/>
          <w:sz w:val="24"/>
        </w:rPr>
      </w:pPr>
    </w:p>
    <w:p>
      <w:pPr>
        <w:spacing w:line="360" w:lineRule="auto"/>
        <w:ind w:firstLine="482" w:firstLineChars="200"/>
        <w:rPr>
          <w:rFonts w:hint="eastAsia" w:ascii="黑体" w:eastAsia="黑体"/>
          <w:b/>
          <w:sz w:val="24"/>
        </w:rPr>
      </w:pPr>
    </w:p>
    <w:p>
      <w:pPr>
        <w:spacing w:line="360" w:lineRule="auto"/>
        <w:ind w:firstLine="482" w:firstLineChars="200"/>
        <w:rPr>
          <w:rFonts w:hint="eastAsia" w:ascii="黑体" w:eastAsia="黑体"/>
          <w:b/>
          <w:sz w:val="24"/>
        </w:rPr>
      </w:pPr>
    </w:p>
    <w:p>
      <w:pPr>
        <w:spacing w:line="360" w:lineRule="auto"/>
        <w:ind w:firstLine="482" w:firstLineChars="200"/>
        <w:rPr>
          <w:rFonts w:hint="eastAsia" w:ascii="黑体" w:eastAsia="黑体"/>
          <w:b/>
          <w:sz w:val="24"/>
        </w:rPr>
      </w:pPr>
    </w:p>
    <w:p>
      <w:pPr>
        <w:spacing w:line="360" w:lineRule="auto"/>
        <w:ind w:firstLine="482" w:firstLineChars="200"/>
        <w:rPr>
          <w:rFonts w:hint="eastAsia" w:ascii="黑体" w:eastAsia="黑体"/>
          <w:b/>
          <w:sz w:val="24"/>
        </w:rPr>
      </w:pPr>
    </w:p>
    <w:p>
      <w:pPr>
        <w:spacing w:line="360" w:lineRule="auto"/>
        <w:ind w:firstLine="482" w:firstLineChars="200"/>
        <w:rPr>
          <w:rFonts w:ascii="黑体" w:eastAsia="黑体"/>
          <w:b/>
          <w:sz w:val="24"/>
        </w:rPr>
      </w:pPr>
      <w:bookmarkStart w:id="3" w:name="_GoBack"/>
      <w:bookmarkEnd w:id="3"/>
      <w:r>
        <w:rPr>
          <w:rFonts w:hint="eastAsia" w:ascii="黑体" w:eastAsia="黑体"/>
          <w:b/>
          <w:sz w:val="24"/>
        </w:rPr>
        <w:t>培养方案中课程与知识领域对应情况见下表：</w:t>
      </w:r>
    </w:p>
    <w:p>
      <w:pPr>
        <w:spacing w:line="360" w:lineRule="auto"/>
        <w:ind w:firstLine="480" w:firstLineChars="200"/>
        <w:rPr>
          <w:rFonts w:ascii="黑体" w:eastAsia="黑体"/>
          <w:b/>
          <w:sz w:val="24"/>
        </w:rPr>
      </w:pPr>
      <w:r>
        <w:rPr>
          <w:rFonts w:hint="eastAsia" w:ascii="黑体" w:eastAsia="黑体"/>
          <w:sz w:val="24"/>
        </w:rPr>
        <w:t>表2  培养方案中课程与知识领域对应情况</w:t>
      </w:r>
    </w:p>
    <w:tbl>
      <w:tblPr>
        <w:tblStyle w:val="6"/>
        <w:tblpPr w:leftFromText="180" w:rightFromText="180" w:vertAnchor="text" w:horzAnchor="margin" w:tblpXSpec="center" w:tblpY="374"/>
        <w:tblW w:w="10126" w:type="dxa"/>
        <w:tblInd w:w="0" w:type="dxa"/>
        <w:tblLayout w:type="autofit"/>
        <w:tblCellMar>
          <w:top w:w="0" w:type="dxa"/>
          <w:left w:w="108" w:type="dxa"/>
          <w:bottom w:w="0" w:type="dxa"/>
          <w:right w:w="108" w:type="dxa"/>
        </w:tblCellMar>
      </w:tblPr>
      <w:tblGrid>
        <w:gridCol w:w="633"/>
        <w:gridCol w:w="683"/>
        <w:gridCol w:w="683"/>
        <w:gridCol w:w="2410"/>
        <w:gridCol w:w="1134"/>
        <w:gridCol w:w="4583"/>
      </w:tblGrid>
      <w:tr>
        <w:tblPrEx>
          <w:tblCellMar>
            <w:top w:w="0" w:type="dxa"/>
            <w:left w:w="108" w:type="dxa"/>
            <w:bottom w:w="0" w:type="dxa"/>
            <w:right w:w="108" w:type="dxa"/>
          </w:tblCellMar>
        </w:tblPrEx>
        <w:trPr>
          <w:trHeight w:val="675" w:hRule="atLeast"/>
        </w:trPr>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36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知识领域</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教育部教指委专业标准</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学校标准</w:t>
            </w:r>
          </w:p>
        </w:tc>
        <w:tc>
          <w:tcPr>
            <w:tcW w:w="458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本专业开设的相关课程</w:t>
            </w:r>
          </w:p>
        </w:tc>
      </w:tr>
      <w:tr>
        <w:tblPrEx>
          <w:tblCellMar>
            <w:top w:w="0" w:type="dxa"/>
            <w:left w:w="108" w:type="dxa"/>
            <w:bottom w:w="0" w:type="dxa"/>
            <w:right w:w="108" w:type="dxa"/>
          </w:tblCellMar>
        </w:tblPrEx>
        <w:trPr>
          <w:trHeight w:val="439" w:hRule="atLeast"/>
        </w:trPr>
        <w:tc>
          <w:tcPr>
            <w:tcW w:w="6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136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rPr>
              <w:t>课程思政</w:t>
            </w:r>
          </w:p>
        </w:tc>
        <w:tc>
          <w:tcPr>
            <w:tcW w:w="241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是</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是</w:t>
            </w:r>
          </w:p>
        </w:tc>
        <w:tc>
          <w:tcPr>
            <w:tcW w:w="4583"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所有课程全覆盖</w:t>
            </w:r>
          </w:p>
        </w:tc>
      </w:tr>
      <w:tr>
        <w:tblPrEx>
          <w:tblCellMar>
            <w:top w:w="0" w:type="dxa"/>
            <w:left w:w="108" w:type="dxa"/>
            <w:bottom w:w="0" w:type="dxa"/>
            <w:right w:w="108" w:type="dxa"/>
          </w:tblCellMar>
        </w:tblPrEx>
        <w:trPr>
          <w:trHeight w:val="1010" w:hRule="atLeast"/>
        </w:trPr>
        <w:tc>
          <w:tcPr>
            <w:tcW w:w="633" w:type="dxa"/>
            <w:vMerge w:val="restart"/>
            <w:tcBorders>
              <w:top w:val="nil"/>
              <w:left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p>
            <w:pPr>
              <w:jc w:val="center"/>
              <w:rPr>
                <w:rFonts w:ascii="宋体" w:hAnsi="宋体" w:cs="宋体"/>
                <w:color w:val="000000"/>
                <w:kern w:val="0"/>
                <w:sz w:val="22"/>
              </w:rPr>
            </w:pPr>
          </w:p>
        </w:tc>
        <w:tc>
          <w:tcPr>
            <w:tcW w:w="683" w:type="dxa"/>
            <w:vMerge w:val="restart"/>
            <w:tcBorders>
              <w:top w:val="nil"/>
              <w:left w:val="nil"/>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数学</w:t>
            </w:r>
          </w:p>
        </w:tc>
        <w:tc>
          <w:tcPr>
            <w:tcW w:w="68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分析学</w:t>
            </w:r>
          </w:p>
        </w:tc>
        <w:tc>
          <w:tcPr>
            <w:tcW w:w="24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458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bookmarkStart w:id="2" w:name="RANGE!E3:E4"/>
            <w:r>
              <w:rPr>
                <w:rFonts w:hint="eastAsia" w:ascii="宋体" w:hAnsi="宋体" w:cs="宋体"/>
                <w:color w:val="000000"/>
                <w:kern w:val="0"/>
                <w:sz w:val="22"/>
              </w:rPr>
              <w:t>数学分析I、数学分析II、数学分析III、</w:t>
            </w:r>
          </w:p>
          <w:p>
            <w:pPr>
              <w:widowControl/>
              <w:jc w:val="left"/>
              <w:rPr>
                <w:rFonts w:ascii="宋体" w:hAnsi="宋体" w:cs="宋体"/>
                <w:color w:val="000000"/>
                <w:kern w:val="0"/>
                <w:sz w:val="22"/>
              </w:rPr>
            </w:pPr>
            <w:r>
              <w:rPr>
                <w:rFonts w:hint="eastAsia" w:ascii="宋体" w:hAnsi="宋体" w:cs="宋体"/>
                <w:color w:val="000000"/>
                <w:kern w:val="0"/>
                <w:sz w:val="22"/>
              </w:rPr>
              <w:t>实变函数、复变函数、泛函分析、</w:t>
            </w:r>
            <w:r>
              <w:rPr>
                <w:rFonts w:hint="eastAsia" w:ascii="宋体" w:hAnsi="宋体" w:cs="宋体"/>
                <w:color w:val="000000"/>
                <w:kern w:val="0"/>
                <w:sz w:val="22"/>
              </w:rPr>
              <w:br w:type="textWrapping"/>
            </w:r>
            <w:r>
              <w:rPr>
                <w:rFonts w:hint="eastAsia" w:ascii="宋体" w:hAnsi="宋体" w:cs="宋体"/>
                <w:color w:val="000000"/>
                <w:kern w:val="0"/>
                <w:sz w:val="22"/>
              </w:rPr>
              <w:t>常微分方程、偏微分方程</w:t>
            </w:r>
            <w:bookmarkEnd w:id="2"/>
            <w:r>
              <w:rPr>
                <w:rFonts w:hint="eastAsia" w:ascii="宋体" w:hAnsi="宋体" w:cs="宋体"/>
                <w:color w:val="000000"/>
                <w:kern w:val="0"/>
                <w:sz w:val="22"/>
              </w:rPr>
              <w:t>、拓扑学</w:t>
            </w:r>
          </w:p>
        </w:tc>
      </w:tr>
      <w:tr>
        <w:tblPrEx>
          <w:tblCellMar>
            <w:top w:w="0" w:type="dxa"/>
            <w:left w:w="108" w:type="dxa"/>
            <w:bottom w:w="0" w:type="dxa"/>
            <w:right w:w="108" w:type="dxa"/>
          </w:tblCellMar>
        </w:tblPrEx>
        <w:trPr>
          <w:trHeight w:val="462" w:hRule="atLeast"/>
        </w:trPr>
        <w:tc>
          <w:tcPr>
            <w:tcW w:w="633" w:type="dxa"/>
            <w:vMerge w:val="continue"/>
            <w:tcBorders>
              <w:left w:val="single" w:color="auto" w:sz="4" w:space="0"/>
              <w:right w:val="single" w:color="auto" w:sz="4" w:space="0"/>
            </w:tcBorders>
            <w:noWrap/>
            <w:vAlign w:val="center"/>
          </w:tcPr>
          <w:p>
            <w:pPr>
              <w:jc w:val="center"/>
              <w:rPr>
                <w:rFonts w:ascii="宋体" w:hAnsi="宋体" w:cs="宋体"/>
                <w:color w:val="000000"/>
                <w:kern w:val="0"/>
                <w:sz w:val="22"/>
              </w:rPr>
            </w:pPr>
          </w:p>
        </w:tc>
        <w:tc>
          <w:tcPr>
            <w:tcW w:w="683" w:type="dxa"/>
            <w:vMerge w:val="continue"/>
            <w:tcBorders>
              <w:left w:val="nil"/>
              <w:right w:val="single" w:color="auto" w:sz="4" w:space="0"/>
            </w:tcBorders>
            <w:noWrap/>
            <w:vAlign w:val="center"/>
          </w:tcPr>
          <w:p>
            <w:pPr>
              <w:widowControl/>
              <w:jc w:val="left"/>
              <w:rPr>
                <w:rFonts w:ascii="宋体" w:hAnsi="宋体" w:cs="宋体"/>
                <w:color w:val="000000"/>
                <w:kern w:val="0"/>
                <w:sz w:val="22"/>
              </w:rPr>
            </w:pPr>
          </w:p>
        </w:tc>
        <w:tc>
          <w:tcPr>
            <w:tcW w:w="68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代数学</w:t>
            </w:r>
          </w:p>
        </w:tc>
        <w:tc>
          <w:tcPr>
            <w:tcW w:w="24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458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高等代数I、高等代数II、抽象代数 </w:t>
            </w:r>
          </w:p>
        </w:tc>
      </w:tr>
      <w:tr>
        <w:tblPrEx>
          <w:tblCellMar>
            <w:top w:w="0" w:type="dxa"/>
            <w:left w:w="108" w:type="dxa"/>
            <w:bottom w:w="0" w:type="dxa"/>
            <w:right w:w="108" w:type="dxa"/>
          </w:tblCellMar>
        </w:tblPrEx>
        <w:trPr>
          <w:trHeight w:val="1383" w:hRule="atLeast"/>
        </w:trPr>
        <w:tc>
          <w:tcPr>
            <w:tcW w:w="633" w:type="dxa"/>
            <w:vMerge w:val="continue"/>
            <w:tcBorders>
              <w:left w:val="single" w:color="auto" w:sz="4" w:space="0"/>
              <w:right w:val="single" w:color="auto" w:sz="4" w:space="0"/>
            </w:tcBorders>
            <w:noWrap/>
            <w:vAlign w:val="center"/>
          </w:tcPr>
          <w:p>
            <w:pPr>
              <w:jc w:val="center"/>
              <w:rPr>
                <w:rFonts w:ascii="宋体" w:hAnsi="宋体" w:cs="宋体"/>
                <w:color w:val="000000"/>
                <w:kern w:val="0"/>
                <w:sz w:val="22"/>
              </w:rPr>
            </w:pPr>
          </w:p>
        </w:tc>
        <w:tc>
          <w:tcPr>
            <w:tcW w:w="683" w:type="dxa"/>
            <w:vMerge w:val="continue"/>
            <w:tcBorders>
              <w:left w:val="nil"/>
              <w:right w:val="single" w:color="auto" w:sz="4" w:space="0"/>
            </w:tcBorders>
            <w:noWrap/>
            <w:vAlign w:val="center"/>
          </w:tcPr>
          <w:p>
            <w:pPr>
              <w:widowControl/>
              <w:jc w:val="left"/>
              <w:rPr>
                <w:rFonts w:ascii="宋体" w:hAnsi="宋体" w:cs="宋体"/>
                <w:color w:val="000000"/>
                <w:kern w:val="0"/>
                <w:sz w:val="22"/>
              </w:rPr>
            </w:pPr>
          </w:p>
        </w:tc>
        <w:tc>
          <w:tcPr>
            <w:tcW w:w="68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随机数学</w:t>
            </w:r>
          </w:p>
        </w:tc>
        <w:tc>
          <w:tcPr>
            <w:tcW w:w="24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4583" w:type="dxa"/>
            <w:tcBorders>
              <w:top w:val="nil"/>
              <w:left w:val="nil"/>
              <w:bottom w:val="single" w:color="auto" w:sz="4" w:space="0"/>
              <w:right w:val="single" w:color="auto" w:sz="4" w:space="0"/>
            </w:tcBorders>
            <w:vAlign w:val="center"/>
          </w:tcPr>
          <w:p>
            <w:pPr>
              <w:pStyle w:val="5"/>
              <w:spacing w:beforeAutospacing="0" w:afterAutospacing="0"/>
              <w:ind w:left="75" w:right="75"/>
              <w:rPr>
                <w:rFonts w:ascii="宋体" w:hAnsi="宋体" w:cs="宋体"/>
                <w:color w:val="000000"/>
                <w:sz w:val="22"/>
              </w:rPr>
            </w:pPr>
            <w:r>
              <w:rPr>
                <w:rFonts w:hint="eastAsia" w:ascii="宋体" w:hAnsi="宋体" w:cs="宋体"/>
                <w:color w:val="000000"/>
                <w:sz w:val="22"/>
              </w:rPr>
              <w:t>概率论与数理统计、随机过程引论、精算数学、金融随机分析初步 、</w:t>
            </w:r>
            <w:r>
              <w:rPr>
                <w:rFonts w:hint="eastAsia" w:ascii="宋体" w:hAnsi="宋体" w:eastAsia="宋体" w:cs="宋体"/>
                <w:color w:val="000000"/>
                <w:sz w:val="22"/>
              </w:rPr>
              <w:t>运筹学</w:t>
            </w:r>
            <w:r>
              <w:rPr>
                <w:rFonts w:hint="eastAsia" w:ascii="宋体" w:hAnsi="宋体" w:cs="宋体"/>
                <w:color w:val="000000"/>
                <w:sz w:val="22"/>
              </w:rPr>
              <w:t xml:space="preserve"> 、金融市场</w:t>
            </w:r>
            <w:r>
              <w:rPr>
                <w:rFonts w:ascii="宋体" w:hAnsi="宋体" w:cs="宋体"/>
                <w:color w:val="000000"/>
                <w:sz w:val="22"/>
              </w:rPr>
              <w:t>概论</w:t>
            </w:r>
            <w:r>
              <w:rPr>
                <w:rFonts w:hint="eastAsia" w:ascii="宋体" w:hAnsi="宋体" w:cs="宋体"/>
                <w:color w:val="000000"/>
                <w:sz w:val="22"/>
              </w:rPr>
              <w:t>、多元统计分析、</w:t>
            </w:r>
            <w:r>
              <w:rPr>
                <w:rFonts w:hint="eastAsia" w:ascii="宋体" w:hAnsi="宋体" w:eastAsia="宋体" w:cs="宋体"/>
                <w:color w:val="000000"/>
                <w:sz w:val="22"/>
              </w:rPr>
              <w:t>数学模型、期权</w:t>
            </w:r>
            <w:r>
              <w:rPr>
                <w:rFonts w:ascii="宋体" w:hAnsi="宋体" w:eastAsia="宋体" w:cs="宋体"/>
                <w:color w:val="000000"/>
                <w:sz w:val="22"/>
              </w:rPr>
              <w:t>定价理论</w:t>
            </w:r>
            <w:r>
              <w:rPr>
                <w:rFonts w:hint="eastAsia" w:ascii="宋体" w:hAnsi="宋体" w:eastAsia="宋体" w:cs="宋体"/>
                <w:color w:val="000000"/>
                <w:sz w:val="22"/>
              </w:rPr>
              <w:t>、</w:t>
            </w:r>
            <w:r>
              <w:rPr>
                <w:rFonts w:hint="eastAsia" w:ascii="宋体" w:hAnsi="宋体" w:cs="宋体"/>
                <w:color w:val="000000"/>
                <w:sz w:val="22"/>
              </w:rPr>
              <w:t>金融市场概论</w:t>
            </w:r>
          </w:p>
        </w:tc>
      </w:tr>
      <w:tr>
        <w:tblPrEx>
          <w:tblCellMar>
            <w:top w:w="0" w:type="dxa"/>
            <w:left w:w="108" w:type="dxa"/>
            <w:bottom w:w="0" w:type="dxa"/>
            <w:right w:w="108" w:type="dxa"/>
          </w:tblCellMar>
        </w:tblPrEx>
        <w:trPr>
          <w:trHeight w:val="540" w:hRule="atLeast"/>
        </w:trPr>
        <w:tc>
          <w:tcPr>
            <w:tcW w:w="63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683" w:type="dxa"/>
            <w:vMerge w:val="continue"/>
            <w:tcBorders>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p>
        </w:tc>
        <w:tc>
          <w:tcPr>
            <w:tcW w:w="68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计算科学</w:t>
            </w:r>
          </w:p>
        </w:tc>
        <w:tc>
          <w:tcPr>
            <w:tcW w:w="24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458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数值逼近、数值代数、微分方程</w:t>
            </w:r>
            <w:r>
              <w:rPr>
                <w:rFonts w:ascii="宋体" w:hAnsi="宋体" w:cs="宋体"/>
                <w:color w:val="000000"/>
                <w:kern w:val="0"/>
                <w:sz w:val="22"/>
              </w:rPr>
              <w:t>数值解</w:t>
            </w:r>
            <w:r>
              <w:rPr>
                <w:rFonts w:hint="eastAsia" w:ascii="宋体" w:hAnsi="宋体" w:cs="宋体"/>
                <w:color w:val="000000"/>
                <w:kern w:val="0"/>
                <w:sz w:val="22"/>
              </w:rPr>
              <w:t>、统计计算方法、金融中的</w:t>
            </w:r>
            <w:r>
              <w:rPr>
                <w:rFonts w:ascii="宋体" w:hAnsi="宋体" w:cs="宋体"/>
                <w:color w:val="000000"/>
                <w:kern w:val="0"/>
                <w:sz w:val="22"/>
              </w:rPr>
              <w:t>模型</w:t>
            </w:r>
            <w:r>
              <w:rPr>
                <w:rFonts w:hint="eastAsia" w:ascii="宋体" w:hAnsi="宋体" w:cs="宋体"/>
                <w:color w:val="000000"/>
                <w:kern w:val="0"/>
                <w:sz w:val="22"/>
              </w:rPr>
              <w:t>与</w:t>
            </w:r>
            <w:r>
              <w:rPr>
                <w:rFonts w:ascii="宋体" w:hAnsi="宋体" w:cs="宋体"/>
                <w:color w:val="000000"/>
                <w:kern w:val="0"/>
                <w:sz w:val="22"/>
              </w:rPr>
              <w:t>计算</w:t>
            </w:r>
          </w:p>
        </w:tc>
      </w:tr>
      <w:tr>
        <w:tblPrEx>
          <w:tblCellMar>
            <w:top w:w="0" w:type="dxa"/>
            <w:left w:w="108" w:type="dxa"/>
            <w:bottom w:w="0" w:type="dxa"/>
            <w:right w:w="108" w:type="dxa"/>
          </w:tblCellMar>
        </w:tblPrEx>
        <w:trPr>
          <w:trHeight w:val="540"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366" w:type="dxa"/>
            <w:gridSpan w:val="2"/>
            <w:tcBorders>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经济学</w:t>
            </w:r>
          </w:p>
        </w:tc>
        <w:tc>
          <w:tcPr>
            <w:tcW w:w="24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4583" w:type="dxa"/>
            <w:tcBorders>
              <w:top w:val="nil"/>
              <w:left w:val="nil"/>
              <w:bottom w:val="single" w:color="auto" w:sz="4" w:space="0"/>
              <w:right w:val="single" w:color="auto" w:sz="4" w:space="0"/>
            </w:tcBorders>
            <w:vAlign w:val="center"/>
          </w:tcPr>
          <w:p>
            <w:pPr>
              <w:pStyle w:val="5"/>
              <w:spacing w:beforeAutospacing="0" w:afterAutospacing="0"/>
              <w:ind w:left="75" w:right="75"/>
              <w:rPr>
                <w:rFonts w:ascii="宋体" w:hAnsi="宋体" w:cs="宋体"/>
                <w:color w:val="000000"/>
                <w:sz w:val="22"/>
              </w:rPr>
            </w:pPr>
            <w:r>
              <w:rPr>
                <w:rFonts w:ascii="宋体" w:hAnsi="宋体" w:cs="宋体"/>
                <w:color w:val="000000"/>
                <w:sz w:val="22"/>
              </w:rPr>
              <w:t>政治经济学I</w:t>
            </w:r>
            <w:r>
              <w:rPr>
                <w:rFonts w:hint="eastAsia" w:ascii="宋体" w:hAnsi="宋体" w:cs="宋体"/>
                <w:color w:val="000000"/>
                <w:sz w:val="22"/>
              </w:rPr>
              <w:t>，II、</w:t>
            </w:r>
            <w:r>
              <w:rPr>
                <w:rFonts w:ascii="宋体" w:hAnsi="宋体" w:cs="宋体"/>
                <w:color w:val="000000"/>
                <w:sz w:val="22"/>
              </w:rPr>
              <w:t>财务会计</w:t>
            </w:r>
            <w:r>
              <w:rPr>
                <w:rFonts w:hint="eastAsia" w:ascii="宋体" w:hAnsi="宋体" w:cs="宋体"/>
                <w:color w:val="000000"/>
                <w:sz w:val="22"/>
              </w:rPr>
              <w:t>、</w:t>
            </w:r>
            <w:r>
              <w:rPr>
                <w:rFonts w:ascii="宋体" w:hAnsi="宋体" w:cs="宋体"/>
                <w:color w:val="000000"/>
                <w:sz w:val="22"/>
              </w:rPr>
              <w:t>中级微观经济学</w:t>
            </w:r>
            <w:r>
              <w:rPr>
                <w:rFonts w:hint="eastAsia" w:ascii="宋体" w:hAnsi="宋体" w:cs="宋体"/>
                <w:color w:val="000000"/>
                <w:sz w:val="22"/>
              </w:rPr>
              <w:t>、</w:t>
            </w:r>
            <w:r>
              <w:rPr>
                <w:rFonts w:ascii="宋体" w:hAnsi="宋体" w:cs="宋体"/>
                <w:color w:val="000000"/>
                <w:sz w:val="22"/>
              </w:rPr>
              <w:t>中级宏观经济学</w:t>
            </w:r>
            <w:r>
              <w:rPr>
                <w:rFonts w:hint="eastAsia" w:ascii="宋体" w:hAnsi="宋体" w:cs="宋体"/>
                <w:color w:val="000000"/>
                <w:sz w:val="22"/>
              </w:rPr>
              <w:t>、</w:t>
            </w:r>
            <w:r>
              <w:rPr>
                <w:rFonts w:ascii="宋体" w:hAnsi="宋体" w:cs="宋体"/>
                <w:color w:val="000000"/>
                <w:sz w:val="22"/>
              </w:rPr>
              <w:t>计量经济学</w:t>
            </w:r>
            <w:r>
              <w:rPr>
                <w:rFonts w:hint="eastAsia" w:ascii="宋体" w:hAnsi="宋体" w:cs="宋体"/>
                <w:color w:val="000000"/>
                <w:sz w:val="22"/>
              </w:rPr>
              <w:t>、</w:t>
            </w:r>
            <w:r>
              <w:rPr>
                <w:rFonts w:ascii="宋体" w:hAnsi="宋体" w:cs="宋体"/>
                <w:color w:val="000000"/>
                <w:sz w:val="22"/>
              </w:rPr>
              <w:t>货币银行学</w:t>
            </w:r>
            <w:r>
              <w:rPr>
                <w:rFonts w:hint="eastAsia" w:ascii="宋体" w:hAnsi="宋体" w:cs="宋体"/>
                <w:color w:val="000000"/>
                <w:sz w:val="22"/>
              </w:rPr>
              <w:t>、</w:t>
            </w:r>
            <w:r>
              <w:rPr>
                <w:rFonts w:ascii="宋体" w:hAnsi="宋体" w:cs="宋体"/>
                <w:color w:val="000000"/>
                <w:sz w:val="22"/>
              </w:rPr>
              <w:t>国际经济学</w:t>
            </w:r>
            <w:r>
              <w:rPr>
                <w:rFonts w:hint="eastAsia" w:ascii="宋体" w:hAnsi="宋体" w:cs="宋体"/>
                <w:color w:val="000000"/>
                <w:sz w:val="22"/>
              </w:rPr>
              <w:t>、</w:t>
            </w:r>
            <w:r>
              <w:rPr>
                <w:rFonts w:ascii="宋体" w:hAnsi="宋体" w:cs="宋体"/>
                <w:color w:val="000000"/>
                <w:sz w:val="22"/>
              </w:rPr>
              <w:t>财政学</w:t>
            </w:r>
            <w:r>
              <w:rPr>
                <w:rFonts w:hint="eastAsia" w:ascii="宋体" w:hAnsi="宋体" w:cs="宋体"/>
                <w:color w:val="000000"/>
                <w:sz w:val="22"/>
              </w:rPr>
              <w:t>、</w:t>
            </w:r>
            <w:r>
              <w:rPr>
                <w:rFonts w:ascii="宋体" w:hAnsi="宋体" w:cs="宋体"/>
                <w:color w:val="000000"/>
                <w:sz w:val="22"/>
              </w:rPr>
              <w:t>公司金融</w:t>
            </w:r>
            <w:r>
              <w:rPr>
                <w:rFonts w:hint="eastAsia" w:ascii="宋体" w:hAnsi="宋体" w:cs="宋体"/>
                <w:color w:val="000000"/>
                <w:sz w:val="22"/>
              </w:rPr>
              <w:t>、</w:t>
            </w:r>
            <w:r>
              <w:rPr>
                <w:rFonts w:ascii="宋体" w:hAnsi="宋体" w:cs="宋体"/>
                <w:color w:val="000000"/>
                <w:sz w:val="22"/>
              </w:rPr>
              <w:t>管理会计</w:t>
            </w:r>
            <w:r>
              <w:rPr>
                <w:rFonts w:hint="eastAsia" w:ascii="宋体" w:hAnsi="宋体" w:cs="宋体"/>
                <w:color w:val="000000"/>
                <w:sz w:val="22"/>
              </w:rPr>
              <w:t>、</w:t>
            </w:r>
            <w:r>
              <w:rPr>
                <w:rFonts w:ascii="宋体" w:hAnsi="宋体" w:cs="宋体"/>
                <w:color w:val="000000"/>
                <w:sz w:val="22"/>
              </w:rPr>
              <w:t>管理学</w:t>
            </w:r>
            <w:r>
              <w:rPr>
                <w:rFonts w:hint="eastAsia" w:ascii="宋体" w:hAnsi="宋体" w:cs="宋体"/>
                <w:color w:val="000000"/>
                <w:sz w:val="22"/>
              </w:rPr>
              <w:t>、</w:t>
            </w:r>
            <w:r>
              <w:rPr>
                <w:rFonts w:ascii="宋体" w:hAnsi="宋体" w:cs="宋体"/>
                <w:color w:val="000000"/>
                <w:sz w:val="22"/>
              </w:rPr>
              <w:t>金融机构与金融市场</w:t>
            </w:r>
            <w:r>
              <w:rPr>
                <w:rFonts w:hint="eastAsia" w:ascii="宋体" w:hAnsi="宋体" w:cs="宋体"/>
                <w:color w:val="000000"/>
                <w:sz w:val="22"/>
              </w:rPr>
              <w:t>、</w:t>
            </w:r>
            <w:r>
              <w:rPr>
                <w:rFonts w:ascii="宋体" w:hAnsi="宋体" w:cs="宋体"/>
                <w:color w:val="000000"/>
                <w:sz w:val="22"/>
              </w:rPr>
              <w:t>市场营销学</w:t>
            </w:r>
            <w:r>
              <w:rPr>
                <w:rFonts w:hint="eastAsia" w:ascii="宋体" w:hAnsi="宋体" w:cs="宋体"/>
                <w:color w:val="000000"/>
                <w:sz w:val="22"/>
              </w:rPr>
              <w:t>、</w:t>
            </w:r>
            <w:r>
              <w:rPr>
                <w:rFonts w:ascii="宋体" w:hAnsi="宋体" w:cs="宋体"/>
                <w:color w:val="000000"/>
                <w:sz w:val="22"/>
              </w:rPr>
              <w:t>社会保障学</w:t>
            </w:r>
            <w:r>
              <w:rPr>
                <w:rFonts w:hint="eastAsia" w:ascii="宋体" w:hAnsi="宋体" w:cs="宋体"/>
                <w:color w:val="000000"/>
                <w:sz w:val="22"/>
              </w:rPr>
              <w:t xml:space="preserve"> </w:t>
            </w:r>
            <w:r>
              <w:rPr>
                <w:rFonts w:ascii="宋体" w:hAnsi="宋体" w:cs="宋体"/>
                <w:color w:val="000000"/>
                <w:sz w:val="22"/>
              </w:rPr>
              <w:t>发展经济学</w:t>
            </w:r>
            <w:r>
              <w:rPr>
                <w:rFonts w:hint="eastAsia" w:ascii="宋体" w:hAnsi="宋体" w:cs="宋体"/>
                <w:color w:val="000000"/>
                <w:sz w:val="22"/>
              </w:rPr>
              <w:t xml:space="preserve"> </w:t>
            </w:r>
            <w:r>
              <w:rPr>
                <w:rFonts w:ascii="宋体" w:hAnsi="宋体" w:cs="宋体"/>
                <w:color w:val="000000"/>
                <w:sz w:val="22"/>
              </w:rPr>
              <w:t xml:space="preserve">  实验经济学</w:t>
            </w:r>
            <w:r>
              <w:rPr>
                <w:rFonts w:hint="eastAsia" w:ascii="宋体" w:hAnsi="宋体" w:cs="宋体"/>
                <w:color w:val="000000"/>
                <w:sz w:val="22"/>
              </w:rPr>
              <w:t>、</w:t>
            </w:r>
            <w:r>
              <w:rPr>
                <w:rFonts w:ascii="宋体" w:hAnsi="宋体" w:cs="宋体"/>
                <w:color w:val="000000"/>
                <w:sz w:val="22"/>
              </w:rPr>
              <w:t>资源与环境经济学</w:t>
            </w:r>
            <w:r>
              <w:rPr>
                <w:rFonts w:hint="eastAsia" w:ascii="宋体" w:hAnsi="宋体" w:cs="宋体"/>
                <w:color w:val="000000"/>
                <w:sz w:val="22"/>
              </w:rPr>
              <w:t>、</w:t>
            </w:r>
            <w:r>
              <w:rPr>
                <w:rFonts w:ascii="宋体" w:hAnsi="宋体" w:cs="宋体"/>
                <w:color w:val="000000"/>
                <w:sz w:val="22"/>
              </w:rPr>
              <w:t>行为经济学</w:t>
            </w:r>
            <w:r>
              <w:rPr>
                <w:rFonts w:hint="eastAsia" w:ascii="宋体" w:hAnsi="宋体" w:cs="宋体"/>
                <w:color w:val="000000"/>
                <w:sz w:val="22"/>
              </w:rPr>
              <w:t xml:space="preserve">、 </w:t>
            </w:r>
            <w:r>
              <w:rPr>
                <w:rFonts w:ascii="宋体" w:hAnsi="宋体" w:cs="宋体"/>
                <w:color w:val="000000"/>
                <w:sz w:val="22"/>
              </w:rPr>
              <w:t xml:space="preserve"> 外国经济思想史</w:t>
            </w:r>
            <w:r>
              <w:rPr>
                <w:rFonts w:hint="eastAsia" w:ascii="宋体" w:hAnsi="宋体" w:cs="宋体"/>
                <w:color w:val="000000"/>
                <w:sz w:val="22"/>
              </w:rPr>
              <w:t>、</w:t>
            </w:r>
            <w:r>
              <w:rPr>
                <w:rFonts w:ascii="宋体" w:hAnsi="宋体" w:cs="宋体"/>
                <w:color w:val="000000"/>
                <w:sz w:val="22"/>
              </w:rPr>
              <w:t xml:space="preserve"> 经济数据分析软件</w:t>
            </w:r>
            <w:r>
              <w:rPr>
                <w:rFonts w:hint="eastAsia" w:ascii="宋体" w:hAnsi="宋体" w:cs="宋体"/>
                <w:color w:val="000000"/>
                <w:sz w:val="22"/>
              </w:rPr>
              <w:t>、</w:t>
            </w:r>
            <w:r>
              <w:rPr>
                <w:rFonts w:ascii="宋体" w:hAnsi="宋体" w:cs="宋体"/>
                <w:color w:val="000000"/>
                <w:sz w:val="22"/>
              </w:rPr>
              <w:t>金融衍生品理论与应用</w:t>
            </w:r>
            <w:r>
              <w:rPr>
                <w:rFonts w:hint="eastAsia" w:ascii="宋体" w:hAnsi="宋体" w:cs="宋体"/>
                <w:color w:val="000000"/>
                <w:sz w:val="22"/>
              </w:rPr>
              <w:t>、</w:t>
            </w:r>
            <w:r>
              <w:rPr>
                <w:rFonts w:ascii="宋体" w:hAnsi="宋体" w:cs="宋体"/>
                <w:color w:val="000000"/>
                <w:sz w:val="22"/>
              </w:rPr>
              <w:t>金融计量学</w:t>
            </w:r>
            <w:r>
              <w:rPr>
                <w:rFonts w:hint="eastAsia" w:ascii="宋体" w:hAnsi="宋体" w:cs="宋体"/>
                <w:color w:val="000000"/>
                <w:sz w:val="22"/>
              </w:rPr>
              <w:t xml:space="preserve">、 </w:t>
            </w:r>
            <w:r>
              <w:rPr>
                <w:rFonts w:ascii="宋体" w:hAnsi="宋体" w:cs="宋体"/>
                <w:color w:val="000000"/>
                <w:sz w:val="22"/>
              </w:rPr>
              <w:t xml:space="preserve"> 外国经济史</w:t>
            </w:r>
            <w:r>
              <w:rPr>
                <w:rFonts w:hint="eastAsia" w:ascii="宋体" w:hAnsi="宋体" w:cs="宋体"/>
                <w:color w:val="000000"/>
                <w:sz w:val="22"/>
              </w:rPr>
              <w:t>、</w:t>
            </w:r>
            <w:r>
              <w:rPr>
                <w:rFonts w:ascii="宋体" w:hAnsi="宋体" w:cs="宋体"/>
                <w:color w:val="000000"/>
                <w:sz w:val="22"/>
              </w:rPr>
              <w:t>经济学专题研究</w:t>
            </w:r>
            <w:r>
              <w:rPr>
                <w:rFonts w:hint="eastAsia" w:ascii="宋体" w:hAnsi="宋体" w:cs="宋体"/>
                <w:color w:val="000000"/>
                <w:sz w:val="22"/>
              </w:rPr>
              <w:t>、</w:t>
            </w:r>
            <w:r>
              <w:rPr>
                <w:rFonts w:ascii="宋体" w:hAnsi="宋体" w:cs="宋体"/>
                <w:color w:val="000000"/>
                <w:sz w:val="22"/>
              </w:rPr>
              <w:t>中国经济思想史</w:t>
            </w:r>
            <w:r>
              <w:rPr>
                <w:rFonts w:hint="eastAsia" w:ascii="宋体" w:hAnsi="宋体" w:cs="宋体"/>
                <w:color w:val="000000"/>
                <w:sz w:val="22"/>
              </w:rPr>
              <w:t>、</w:t>
            </w:r>
            <w:r>
              <w:rPr>
                <w:rFonts w:ascii="宋体" w:hAnsi="宋体" w:cs="宋体"/>
                <w:color w:val="000000"/>
                <w:sz w:val="22"/>
              </w:rPr>
              <w:t>中国经济分析</w:t>
            </w:r>
            <w:r>
              <w:rPr>
                <w:rFonts w:hint="eastAsia" w:ascii="宋体" w:hAnsi="宋体" w:cs="宋体"/>
                <w:color w:val="000000"/>
                <w:sz w:val="22"/>
              </w:rPr>
              <w:t>、</w:t>
            </w:r>
            <w:r>
              <w:rPr>
                <w:rFonts w:ascii="宋体" w:hAnsi="宋体" w:cs="宋体"/>
                <w:color w:val="000000"/>
                <w:sz w:val="22"/>
              </w:rPr>
              <w:t>《资本论》选读</w:t>
            </w:r>
            <w:r>
              <w:rPr>
                <w:rFonts w:hint="eastAsia" w:ascii="宋体" w:hAnsi="宋体" w:cs="宋体"/>
                <w:color w:val="000000"/>
                <w:sz w:val="22"/>
              </w:rPr>
              <w:t xml:space="preserve"> </w:t>
            </w:r>
            <w:r>
              <w:rPr>
                <w:rFonts w:ascii="宋体" w:hAnsi="宋体" w:cs="宋体"/>
                <w:color w:val="000000"/>
                <w:sz w:val="22"/>
              </w:rPr>
              <w:t>微观计量经济学</w:t>
            </w:r>
            <w:r>
              <w:rPr>
                <w:rFonts w:hint="eastAsia" w:ascii="宋体" w:hAnsi="宋体" w:cs="宋体"/>
                <w:color w:val="000000"/>
                <w:sz w:val="22"/>
              </w:rPr>
              <w:t>、</w:t>
            </w:r>
            <w:r>
              <w:rPr>
                <w:rFonts w:ascii="宋体" w:hAnsi="宋体" w:cs="宋体"/>
                <w:color w:val="000000"/>
                <w:sz w:val="22"/>
              </w:rPr>
              <w:t>劳动力市场专题研究</w:t>
            </w:r>
            <w:r>
              <w:rPr>
                <w:rFonts w:hint="eastAsia" w:ascii="宋体" w:hAnsi="宋体" w:cs="宋体"/>
                <w:color w:val="000000"/>
                <w:sz w:val="22"/>
              </w:rPr>
              <w:t>、</w:t>
            </w:r>
            <w:r>
              <w:rPr>
                <w:rFonts w:ascii="宋体" w:hAnsi="宋体" w:cs="宋体"/>
                <w:color w:val="000000"/>
                <w:sz w:val="22"/>
              </w:rPr>
              <w:t>应用计量学</w:t>
            </w:r>
            <w:r>
              <w:rPr>
                <w:rFonts w:hint="eastAsia" w:ascii="宋体" w:hAnsi="宋体" w:cs="宋体"/>
                <w:color w:val="000000"/>
                <w:sz w:val="22"/>
              </w:rPr>
              <w:t>、健康</w:t>
            </w:r>
            <w:r>
              <w:rPr>
                <w:rFonts w:ascii="宋体" w:hAnsi="宋体" w:cs="宋体"/>
                <w:color w:val="000000"/>
                <w:sz w:val="22"/>
              </w:rPr>
              <w:t>经济学</w:t>
            </w:r>
            <w:r>
              <w:rPr>
                <w:rFonts w:hint="eastAsia" w:ascii="宋体" w:hAnsi="宋体" w:cs="宋体"/>
                <w:color w:val="000000"/>
                <w:sz w:val="22"/>
              </w:rPr>
              <w:t>、</w:t>
            </w:r>
            <w:r>
              <w:rPr>
                <w:rFonts w:ascii="宋体" w:hAnsi="宋体" w:cs="宋体"/>
                <w:color w:val="000000"/>
                <w:sz w:val="22"/>
              </w:rPr>
              <w:t>经济学原理、思想与方法</w:t>
            </w:r>
            <w:r>
              <w:rPr>
                <w:rFonts w:hint="eastAsia" w:ascii="宋体" w:hAnsi="宋体" w:cs="宋体"/>
                <w:color w:val="000000"/>
                <w:sz w:val="22"/>
              </w:rPr>
              <w:t>、</w:t>
            </w:r>
            <w:r>
              <w:rPr>
                <w:rFonts w:ascii="宋体" w:hAnsi="宋体" w:cs="宋体"/>
                <w:color w:val="000000"/>
                <w:sz w:val="22"/>
              </w:rPr>
              <w:t>高级微观经济学</w:t>
            </w:r>
          </w:p>
        </w:tc>
      </w:tr>
      <w:tr>
        <w:tblPrEx>
          <w:tblCellMar>
            <w:top w:w="0" w:type="dxa"/>
            <w:left w:w="108" w:type="dxa"/>
            <w:bottom w:w="0" w:type="dxa"/>
            <w:right w:w="108" w:type="dxa"/>
          </w:tblCellMar>
        </w:tblPrEx>
        <w:trPr>
          <w:trHeight w:val="959"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366"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信息科学</w:t>
            </w:r>
          </w:p>
        </w:tc>
        <w:tc>
          <w:tcPr>
            <w:tcW w:w="241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是</w:t>
            </w:r>
          </w:p>
        </w:tc>
        <w:tc>
          <w:tcPr>
            <w:tcW w:w="458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机器学习</w:t>
            </w:r>
            <w:r>
              <w:rPr>
                <w:rFonts w:hint="eastAsia" w:ascii="宋体" w:hAnsi="宋体" w:cs="宋体"/>
                <w:color w:val="000000"/>
                <w:kern w:val="0"/>
                <w:sz w:val="22"/>
              </w:rPr>
              <w:t>、计算机原理与程序设计、C++程序设计、统计软件 、Python程序设计</w:t>
            </w:r>
          </w:p>
        </w:tc>
      </w:tr>
    </w:tbl>
    <w:p>
      <w:pPr>
        <w:rPr>
          <w:rFonts w:hint="eastAsia" w:ascii="黑体" w:eastAsia="黑体"/>
          <w:b/>
          <w:sz w:val="24"/>
        </w:rPr>
      </w:pPr>
    </w:p>
    <w:p>
      <w:pPr>
        <w:spacing w:line="360" w:lineRule="auto"/>
        <w:rPr>
          <w:rFonts w:ascii="黑体" w:eastAsia="黑体"/>
          <w:b/>
          <w:sz w:val="24"/>
        </w:rPr>
      </w:pPr>
    </w:p>
    <w:p>
      <w:pPr>
        <w:spacing w:line="360" w:lineRule="auto"/>
        <w:rPr>
          <w:rFonts w:ascii="黑体" w:eastAsia="黑体"/>
          <w:b/>
          <w:sz w:val="24"/>
        </w:rPr>
      </w:pPr>
      <w:r>
        <w:rPr>
          <w:rFonts w:hint="eastAsia" w:ascii="黑体" w:eastAsia="黑体"/>
          <w:b/>
          <w:sz w:val="24"/>
        </w:rPr>
        <w:t>六、毕业论文</w:t>
      </w:r>
    </w:p>
    <w:p>
      <w:pPr>
        <w:spacing w:line="360" w:lineRule="auto"/>
        <w:ind w:firstLine="420"/>
        <w:rPr>
          <w:rFonts w:ascii="宋体" w:hAnsi="宋体"/>
          <w:szCs w:val="21"/>
        </w:rPr>
      </w:pPr>
      <w:r>
        <w:rPr>
          <w:rFonts w:hint="eastAsia" w:ascii="宋体" w:hAnsi="宋体"/>
          <w:szCs w:val="21"/>
        </w:rPr>
        <w:t>毕业论文（设计）是本科生在掌握本门学科的基础理论、专门知识和基本技能的基础上，进行科学研究工作的训练；是培养独立工作能力，全面提高教学质量的重要环节。第八学期学生必须在老师指导下独立完成毕业论文（设计）的写作。具体要求见《上海财经大学本科学生毕业论文（设计）工作的规定》。</w:t>
      </w:r>
    </w:p>
    <w:p>
      <w:pPr>
        <w:spacing w:line="360" w:lineRule="auto"/>
        <w:ind w:firstLine="420"/>
        <w:rPr>
          <w:rFonts w:ascii="宋体" w:hAnsi="宋体"/>
          <w:szCs w:val="21"/>
        </w:rPr>
      </w:pPr>
    </w:p>
    <w:p>
      <w:pPr>
        <w:spacing w:line="360" w:lineRule="auto"/>
        <w:ind w:firstLine="420"/>
        <w:rPr>
          <w:rFonts w:hint="eastAsia" w:ascii="宋体" w:hAnsi="宋体"/>
          <w:szCs w:val="21"/>
        </w:rPr>
      </w:pPr>
    </w:p>
    <w:p>
      <w:pPr>
        <w:spacing w:line="360" w:lineRule="auto"/>
        <w:rPr>
          <w:rFonts w:ascii="黑体" w:eastAsia="黑体"/>
          <w:b/>
          <w:sz w:val="24"/>
        </w:rPr>
      </w:pPr>
      <w:r>
        <w:rPr>
          <w:rFonts w:hint="eastAsia" w:ascii="黑体" w:eastAsia="黑体"/>
          <w:b/>
          <w:sz w:val="24"/>
        </w:rPr>
        <w:t>七、科学研究</w:t>
      </w:r>
    </w:p>
    <w:p>
      <w:pPr>
        <w:spacing w:line="360" w:lineRule="auto"/>
        <w:ind w:firstLine="420"/>
        <w:rPr>
          <w:rFonts w:ascii="宋体" w:hAnsi="宋体"/>
          <w:szCs w:val="21"/>
        </w:rPr>
      </w:pPr>
      <w:r>
        <w:rPr>
          <w:rFonts w:hint="eastAsia" w:ascii="宋体" w:hAnsi="宋体"/>
          <w:szCs w:val="21"/>
        </w:rPr>
        <w:t>为提高学生的科学研究能力，培养学生具有正确地发现问题、认识问题、分析问题以及解决问题的能力，积极鼓励、引导和组织学生参加与本专业有关的学术讨论和科学研究等学术活动。</w:t>
      </w:r>
    </w:p>
    <w:p>
      <w:pPr>
        <w:rPr>
          <w:rFonts w:ascii="宋体" w:hAnsi="宋体"/>
          <w:szCs w:val="21"/>
        </w:rPr>
      </w:pPr>
      <w:r>
        <w:rPr>
          <w:rFonts w:hint="eastAsia" w:ascii="宋体" w:hAnsi="宋体"/>
          <w:szCs w:val="21"/>
        </w:rPr>
        <w:t>在课程体系中，理论与实践教学结构合理，学时分配比较科学。本专业总学分为</w:t>
      </w:r>
      <w:r>
        <w:rPr>
          <w:rFonts w:ascii="宋体" w:hAnsi="宋体"/>
          <w:szCs w:val="21"/>
        </w:rPr>
        <w:t>18</w:t>
      </w:r>
      <w:r>
        <w:rPr>
          <w:rFonts w:hint="eastAsia" w:ascii="宋体" w:hAnsi="宋体"/>
          <w:szCs w:val="21"/>
          <w:lang w:val="en-US" w:eastAsia="zh-CN"/>
        </w:rPr>
        <w:t>1</w:t>
      </w:r>
      <w:r>
        <w:rPr>
          <w:rFonts w:hint="eastAsia" w:ascii="宋体" w:hAnsi="宋体"/>
          <w:szCs w:val="21"/>
        </w:rPr>
        <w:t>学分，其中理论教学</w:t>
      </w:r>
      <w:r>
        <w:rPr>
          <w:rFonts w:ascii="宋体" w:hAnsi="宋体"/>
          <w:szCs w:val="21"/>
        </w:rPr>
        <w:t>13</w:t>
      </w:r>
      <w:r>
        <w:rPr>
          <w:rFonts w:hint="eastAsia" w:ascii="宋体" w:hAnsi="宋体"/>
          <w:szCs w:val="21"/>
          <w:lang w:val="en-US" w:eastAsia="zh-CN"/>
        </w:rPr>
        <w:t>2</w:t>
      </w:r>
      <w:r>
        <w:rPr>
          <w:rFonts w:hint="eastAsia" w:ascii="宋体" w:hAnsi="宋体"/>
          <w:szCs w:val="21"/>
        </w:rPr>
        <w:t>学分，实践教学4</w:t>
      </w:r>
      <w:r>
        <w:rPr>
          <w:rFonts w:ascii="宋体" w:hAnsi="宋体"/>
          <w:szCs w:val="21"/>
        </w:rPr>
        <w:t>9</w:t>
      </w:r>
      <w:r>
        <w:rPr>
          <w:rFonts w:hint="eastAsia" w:ascii="宋体" w:hAnsi="宋体"/>
          <w:szCs w:val="21"/>
        </w:rPr>
        <w:t>学分，实践教学占总学分</w:t>
      </w:r>
      <w:r>
        <w:rPr>
          <w:rFonts w:ascii="宋体" w:hAnsi="宋体"/>
          <w:szCs w:val="21"/>
        </w:rPr>
        <w:t>27.</w:t>
      </w:r>
      <w:r>
        <w:rPr>
          <w:rFonts w:hint="eastAsia" w:ascii="宋体" w:hAnsi="宋体"/>
          <w:szCs w:val="21"/>
          <w:lang w:val="en-US" w:eastAsia="zh-CN"/>
        </w:rPr>
        <w:t>07</w:t>
      </w:r>
      <w:r>
        <w:rPr>
          <w:rFonts w:hint="eastAsia" w:ascii="宋体" w:hAnsi="宋体"/>
          <w:szCs w:val="21"/>
        </w:rPr>
        <w:t>%。</w:t>
      </w:r>
    </w:p>
    <w:p>
      <w:pPr>
        <w:rPr>
          <w:rFonts w:ascii="宋体" w:hAnsi="宋体"/>
          <w:szCs w:val="21"/>
        </w:rPr>
      </w:pPr>
    </w:p>
    <w:p>
      <w:pPr>
        <w:rPr>
          <w:rFonts w:ascii="宋体" w:hAnsi="宋体"/>
          <w:szCs w:val="21"/>
        </w:rPr>
      </w:pPr>
      <w:r>
        <w:rPr>
          <w:rFonts w:hint="eastAsia" w:ascii="黑体" w:eastAsia="黑体"/>
          <w:b/>
          <w:sz w:val="24"/>
        </w:rPr>
        <w:t>八、专业课程思政教学目标</w:t>
      </w:r>
    </w:p>
    <w:p>
      <w:pPr>
        <w:spacing w:line="360" w:lineRule="auto"/>
        <w:ind w:firstLine="420"/>
        <w:rPr>
          <w:rFonts w:ascii="宋体" w:hAnsi="宋体"/>
          <w:szCs w:val="21"/>
        </w:rPr>
      </w:pPr>
      <w:r>
        <w:rPr>
          <w:rFonts w:hint="eastAsia" w:ascii="宋体" w:hAnsi="宋体"/>
          <w:szCs w:val="21"/>
        </w:rPr>
        <w:t>在数学课程学习和综合教育环节中帮助学生丰富学识，增长见识，同步培养数学素养和思政素养，形成正确的世界观、人生观、价值观，使学生明理达观、德才兼备，立志报效国家，成为全面发展的社会主义建设者和接班人。</w:t>
      </w:r>
    </w:p>
    <w:p>
      <w:pPr>
        <w:spacing w:line="360" w:lineRule="auto"/>
        <w:ind w:firstLine="420"/>
        <w:rPr>
          <w:rFonts w:ascii="宋体" w:hAnsi="宋体"/>
          <w:szCs w:val="21"/>
        </w:rPr>
      </w:pPr>
    </w:p>
    <w:p>
      <w:pPr>
        <w:spacing w:line="360" w:lineRule="auto"/>
        <w:rPr>
          <w:rFonts w:ascii="黑体" w:eastAsia="黑体"/>
          <w:b/>
          <w:sz w:val="24"/>
        </w:rPr>
      </w:pPr>
      <w:r>
        <w:rPr>
          <w:rFonts w:hint="eastAsia" w:ascii="黑体" w:eastAsia="黑体"/>
          <w:b/>
          <w:sz w:val="24"/>
        </w:rPr>
        <w:t>九、成绩考核</w:t>
      </w:r>
    </w:p>
    <w:p>
      <w:pPr>
        <w:spacing w:line="360" w:lineRule="auto"/>
        <w:ind w:firstLine="420"/>
        <w:rPr>
          <w:rFonts w:ascii="宋体" w:hAnsi="宋体"/>
          <w:szCs w:val="21"/>
        </w:rPr>
      </w:pPr>
      <w:r>
        <w:rPr>
          <w:rFonts w:hint="eastAsia" w:ascii="宋体" w:hAnsi="宋体"/>
          <w:szCs w:val="21"/>
        </w:rPr>
        <w:t>为巩固学生所学知识，检查教学效果，保证教学质量，必须严格执行考核制度。考核合格，给予相应的成绩。各门课程分别记载学分、成绩和绩点。具体规定详见《上海财经大学学分制实施办法》、《上海财经大学科学生学籍管理实施细则》、《上海财经大学学生课程考核管理办法》。</w:t>
      </w:r>
    </w:p>
    <w:p>
      <w:pPr>
        <w:spacing w:line="360" w:lineRule="auto"/>
        <w:ind w:firstLine="420"/>
        <w:rPr>
          <w:rFonts w:ascii="宋体" w:hAnsi="宋体"/>
          <w:szCs w:val="21"/>
        </w:rPr>
      </w:pPr>
    </w:p>
    <w:p>
      <w:pPr>
        <w:spacing w:line="360" w:lineRule="auto"/>
        <w:rPr>
          <w:rFonts w:ascii="黑体" w:hAnsi="宋体" w:eastAsia="黑体"/>
          <w:b/>
          <w:sz w:val="24"/>
        </w:rPr>
      </w:pPr>
      <w:r>
        <w:rPr>
          <w:rFonts w:hint="eastAsia" w:ascii="黑体" w:hAnsi="宋体" w:eastAsia="黑体"/>
          <w:b/>
          <w:sz w:val="24"/>
        </w:rPr>
        <w:t>十、毕业与学位</w:t>
      </w:r>
    </w:p>
    <w:p>
      <w:pPr>
        <w:spacing w:line="360" w:lineRule="auto"/>
        <w:ind w:firstLine="420"/>
        <w:rPr>
          <w:rFonts w:ascii="宋体" w:hAnsi="宋体"/>
          <w:szCs w:val="21"/>
        </w:rPr>
      </w:pPr>
      <w:r>
        <w:rPr>
          <w:rFonts w:hint="eastAsia" w:ascii="宋体" w:hAnsi="宋体"/>
          <w:szCs w:val="21"/>
        </w:rPr>
        <w:t>1. 本专业学生在规定时间内修完教学计划规定的全部课程，获得相应的学分，并符合各项要求者，准予毕业并发给毕业证书。</w:t>
      </w:r>
    </w:p>
    <w:p>
      <w:pPr>
        <w:spacing w:line="360" w:lineRule="auto"/>
        <w:ind w:firstLine="420"/>
        <w:rPr>
          <w:rFonts w:hint="eastAsia" w:ascii="宋体" w:hAnsi="宋体"/>
          <w:szCs w:val="21"/>
        </w:rPr>
      </w:pPr>
      <w:r>
        <w:rPr>
          <w:rFonts w:hint="eastAsia" w:ascii="宋体" w:hAnsi="宋体"/>
          <w:szCs w:val="21"/>
        </w:rPr>
        <w:t>2. 符合《中华人民共和国学位条例》、《中华人民共和国学位条例暂行实施办法》和学校的有关规定者，经学校学位委员会审查通过，授予理学学士和经济学学士双学位。</w:t>
      </w:r>
    </w:p>
    <w:p>
      <w:pPr>
        <w:rPr>
          <w:rFonts w:hint="eastAsia" w:ascii="宋体" w:hAnsi="宋体"/>
          <w:szCs w:val="21"/>
        </w:rPr>
      </w:pPr>
      <w:r>
        <w:rPr>
          <w:rFonts w:hint="eastAsia" w:ascii="宋体" w:hAnsi="宋体"/>
          <w:szCs w:val="21"/>
        </w:rPr>
        <w:br w:type="page"/>
      </w:r>
    </w:p>
    <w:p>
      <w:pPr>
        <w:pStyle w:val="5"/>
        <w:keepNext w:val="0"/>
        <w:keepLines w:val="0"/>
        <w:widowControl/>
        <w:suppressLineNumbers w:val="0"/>
        <w:spacing w:before="0" w:beforeAutospacing="0" w:after="0" w:afterAutospacing="0"/>
        <w:ind w:left="75" w:right="75" w:firstLine="0"/>
        <w:jc w:val="center"/>
        <w:rPr>
          <w:rFonts w:ascii="Verdana" w:hAnsi="Verdana" w:cs="Verdana"/>
          <w:b/>
          <w:bCs/>
          <w:i w:val="0"/>
          <w:iCs w:val="0"/>
          <w:caps w:val="0"/>
          <w:color w:val="00108C"/>
          <w:spacing w:val="0"/>
          <w:sz w:val="26"/>
          <w:szCs w:val="26"/>
        </w:rPr>
      </w:pPr>
      <w:r>
        <w:rPr>
          <w:rFonts w:hint="default" w:ascii="Verdana" w:hAnsi="Verdana" w:cs="Verdana"/>
          <w:b/>
          <w:bCs/>
          <w:i w:val="0"/>
          <w:iCs w:val="0"/>
          <w:caps w:val="0"/>
          <w:color w:val="00108C"/>
          <w:spacing w:val="0"/>
          <w:sz w:val="26"/>
          <w:szCs w:val="26"/>
        </w:rPr>
        <w:t>大学本科 本科生 数学学院 数学与应用数学专业</w:t>
      </w:r>
    </w:p>
    <w:p>
      <w:pPr>
        <w:pStyle w:val="5"/>
        <w:keepNext w:val="0"/>
        <w:keepLines w:val="0"/>
        <w:widowControl/>
        <w:suppressLineNumbers w:val="0"/>
        <w:spacing w:before="0" w:beforeAutospacing="0" w:after="0" w:afterAutospacing="0"/>
        <w:ind w:left="75" w:right="75" w:firstLine="0"/>
        <w:jc w:val="center"/>
        <w:rPr>
          <w:rFonts w:hint="default" w:ascii="Verdana" w:hAnsi="Verdana" w:cs="Verdana"/>
          <w:b/>
          <w:bCs/>
          <w:i w:val="0"/>
          <w:iCs w:val="0"/>
          <w:caps w:val="0"/>
          <w:color w:val="00108C"/>
          <w:spacing w:val="0"/>
          <w:sz w:val="26"/>
          <w:szCs w:val="26"/>
        </w:rPr>
      </w:pPr>
      <w:r>
        <w:rPr>
          <w:rFonts w:hint="default" w:ascii="Verdana" w:hAnsi="Verdana" w:cs="Verdana"/>
          <w:b/>
          <w:bCs/>
          <w:i w:val="0"/>
          <w:iCs w:val="0"/>
          <w:caps w:val="0"/>
          <w:color w:val="00108C"/>
          <w:spacing w:val="0"/>
          <w:sz w:val="26"/>
          <w:szCs w:val="26"/>
        </w:rPr>
        <w:t>数学与应用数学-经济学 培养计划</w:t>
      </w:r>
    </w:p>
    <w:tbl>
      <w:tblPr>
        <w:tblW w:w="5118"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4965" w:type="pct"/>
            <w:shd w:val="clear"/>
            <w:vAlign w:val="center"/>
          </w:tcPr>
          <w:tbl>
            <w:tblPr>
              <w:tblW w:w="8730" w:type="dxa"/>
              <w:jc w:val="center"/>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7"/>
              <w:gridCol w:w="197"/>
              <w:gridCol w:w="197"/>
              <w:gridCol w:w="575"/>
              <w:gridCol w:w="1757"/>
              <w:gridCol w:w="289"/>
              <w:gridCol w:w="198"/>
              <w:gridCol w:w="198"/>
              <w:gridCol w:w="379"/>
              <w:gridCol w:w="379"/>
              <w:gridCol w:w="198"/>
              <w:gridCol w:w="198"/>
              <w:gridCol w:w="198"/>
              <w:gridCol w:w="390"/>
              <w:gridCol w:w="2017"/>
              <w:gridCol w:w="1363"/>
            </w:tblGrid>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tblHeader/>
                <w:jc w:val="center"/>
              </w:trPr>
              <w:tc>
                <w:tcPr>
                  <w:tcW w:w="338" w:type="pct"/>
                  <w:gridSpan w:val="3"/>
                  <w:vMerge w:val="restar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分类</w:t>
                  </w:r>
                </w:p>
              </w:tc>
              <w:tc>
                <w:tcPr>
                  <w:tcW w:w="330" w:type="pct"/>
                  <w:vMerge w:val="restar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课程代码</w:t>
                  </w:r>
                </w:p>
              </w:tc>
              <w:tc>
                <w:tcPr>
                  <w:tcW w:w="1007" w:type="pct"/>
                  <w:vMerge w:val="restar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课程名称</w:t>
                  </w:r>
                </w:p>
              </w:tc>
              <w:tc>
                <w:tcPr>
                  <w:tcW w:w="165" w:type="pct"/>
                  <w:vMerge w:val="restar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学分</w:t>
                  </w:r>
                </w:p>
              </w:tc>
              <w:tc>
                <w:tcPr>
                  <w:tcW w:w="1223" w:type="pct"/>
                  <w:gridSpan w:val="8"/>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按学期学分分配</w:t>
                  </w:r>
                </w:p>
              </w:tc>
              <w:tc>
                <w:tcPr>
                  <w:tcW w:w="1156" w:type="pct"/>
                  <w:vMerge w:val="restar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开课院系</w:t>
                  </w:r>
                </w:p>
              </w:tc>
              <w:tc>
                <w:tcPr>
                  <w:tcW w:w="777" w:type="pct"/>
                  <w:vMerge w:val="restar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备注</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tblHeader/>
                <w:jc w:val="center"/>
              </w:trPr>
              <w:tc>
                <w:tcPr>
                  <w:tcW w:w="338" w:type="pct"/>
                  <w:gridSpan w:val="3"/>
                  <w:vMerge w:val="continue"/>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330" w:type="pct"/>
                  <w:vMerge w:val="continue"/>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1007" w:type="pct"/>
                  <w:vMerge w:val="continue"/>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165" w:type="pct"/>
                  <w:vMerge w:val="continue"/>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113" w:type="pc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pStyle w:val="5"/>
                    <w:keepNext w:val="0"/>
                    <w:keepLines w:val="0"/>
                    <w:widowControl/>
                    <w:suppressLineNumbers w:val="0"/>
                    <w:jc w:val="center"/>
                  </w:pPr>
                  <w:r>
                    <w:rPr>
                      <w:rFonts w:hint="eastAsia" w:ascii="宋体" w:hAnsi="宋体" w:eastAsia="宋体" w:cs="宋体"/>
                      <w:i w:val="0"/>
                      <w:iCs w:val="0"/>
                      <w:color w:val="000000"/>
                      <w:spacing w:val="0"/>
                      <w:sz w:val="18"/>
                      <w:szCs w:val="18"/>
                      <w:u w:val="none"/>
                      <w:bdr w:val="none" w:color="auto" w:sz="0" w:space="0"/>
                    </w:rPr>
                    <w:t>1</w:t>
                  </w:r>
                </w:p>
              </w:tc>
              <w:tc>
                <w:tcPr>
                  <w:tcW w:w="113" w:type="pc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pStyle w:val="5"/>
                    <w:keepNext w:val="0"/>
                    <w:keepLines w:val="0"/>
                    <w:widowControl/>
                    <w:suppressLineNumbers w:val="0"/>
                    <w:jc w:val="center"/>
                  </w:pPr>
                  <w:r>
                    <w:rPr>
                      <w:rFonts w:hint="eastAsia" w:ascii="宋体" w:hAnsi="宋体" w:eastAsia="宋体" w:cs="宋体"/>
                      <w:i w:val="0"/>
                      <w:iCs w:val="0"/>
                      <w:color w:val="000000"/>
                      <w:spacing w:val="0"/>
                      <w:sz w:val="18"/>
                      <w:szCs w:val="18"/>
                      <w:u w:val="none"/>
                      <w:bdr w:val="none" w:color="auto" w:sz="0" w:space="0"/>
                    </w:rPr>
                    <w:t>2</w:t>
                  </w:r>
                </w:p>
              </w:tc>
              <w:tc>
                <w:tcPr>
                  <w:tcW w:w="217" w:type="pc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pStyle w:val="5"/>
                    <w:keepNext w:val="0"/>
                    <w:keepLines w:val="0"/>
                    <w:widowControl/>
                    <w:suppressLineNumbers w:val="0"/>
                    <w:jc w:val="center"/>
                  </w:pPr>
                  <w:r>
                    <w:rPr>
                      <w:rFonts w:hint="eastAsia" w:ascii="宋体" w:hAnsi="宋体" w:eastAsia="宋体" w:cs="宋体"/>
                      <w:i w:val="0"/>
                      <w:iCs w:val="0"/>
                      <w:color w:val="000000"/>
                      <w:spacing w:val="0"/>
                      <w:sz w:val="18"/>
                      <w:szCs w:val="18"/>
                      <w:u w:val="none"/>
                      <w:bdr w:val="none" w:color="auto" w:sz="0" w:space="0"/>
                    </w:rPr>
                    <w:t>3</w:t>
                  </w:r>
                </w:p>
              </w:tc>
              <w:tc>
                <w:tcPr>
                  <w:tcW w:w="217" w:type="pc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pStyle w:val="5"/>
                    <w:keepNext w:val="0"/>
                    <w:keepLines w:val="0"/>
                    <w:widowControl/>
                    <w:suppressLineNumbers w:val="0"/>
                    <w:jc w:val="center"/>
                  </w:pPr>
                  <w:r>
                    <w:rPr>
                      <w:rFonts w:hint="eastAsia" w:ascii="宋体" w:hAnsi="宋体" w:eastAsia="宋体" w:cs="宋体"/>
                      <w:i w:val="0"/>
                      <w:iCs w:val="0"/>
                      <w:color w:val="000000"/>
                      <w:spacing w:val="0"/>
                      <w:sz w:val="18"/>
                      <w:szCs w:val="18"/>
                      <w:u w:val="none"/>
                      <w:bdr w:val="none" w:color="auto" w:sz="0" w:space="0"/>
                    </w:rPr>
                    <w:t>4</w:t>
                  </w:r>
                </w:p>
              </w:tc>
              <w:tc>
                <w:tcPr>
                  <w:tcW w:w="113" w:type="pc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pStyle w:val="5"/>
                    <w:keepNext w:val="0"/>
                    <w:keepLines w:val="0"/>
                    <w:widowControl/>
                    <w:suppressLineNumbers w:val="0"/>
                    <w:jc w:val="center"/>
                  </w:pPr>
                  <w:r>
                    <w:rPr>
                      <w:rFonts w:hint="eastAsia" w:ascii="宋体" w:hAnsi="宋体" w:eastAsia="宋体" w:cs="宋体"/>
                      <w:i w:val="0"/>
                      <w:iCs w:val="0"/>
                      <w:color w:val="000000"/>
                      <w:spacing w:val="0"/>
                      <w:sz w:val="18"/>
                      <w:szCs w:val="18"/>
                      <w:u w:val="none"/>
                      <w:bdr w:val="none" w:color="auto" w:sz="0" w:space="0"/>
                    </w:rPr>
                    <w:t>5</w:t>
                  </w:r>
                </w:p>
              </w:tc>
              <w:tc>
                <w:tcPr>
                  <w:tcW w:w="113" w:type="pc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pStyle w:val="5"/>
                    <w:keepNext w:val="0"/>
                    <w:keepLines w:val="0"/>
                    <w:widowControl/>
                    <w:suppressLineNumbers w:val="0"/>
                    <w:jc w:val="center"/>
                  </w:pPr>
                  <w:r>
                    <w:rPr>
                      <w:rFonts w:hint="eastAsia" w:ascii="宋体" w:hAnsi="宋体" w:eastAsia="宋体" w:cs="宋体"/>
                      <w:i w:val="0"/>
                      <w:iCs w:val="0"/>
                      <w:color w:val="000000"/>
                      <w:spacing w:val="0"/>
                      <w:sz w:val="18"/>
                      <w:szCs w:val="18"/>
                      <w:u w:val="none"/>
                      <w:bdr w:val="none" w:color="auto" w:sz="0" w:space="0"/>
                    </w:rPr>
                    <w:t>6</w:t>
                  </w:r>
                </w:p>
              </w:tc>
              <w:tc>
                <w:tcPr>
                  <w:tcW w:w="113" w:type="pc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pStyle w:val="5"/>
                    <w:keepNext w:val="0"/>
                    <w:keepLines w:val="0"/>
                    <w:widowControl/>
                    <w:suppressLineNumbers w:val="0"/>
                    <w:jc w:val="center"/>
                  </w:pPr>
                  <w:r>
                    <w:rPr>
                      <w:rFonts w:hint="eastAsia" w:ascii="宋体" w:hAnsi="宋体" w:eastAsia="宋体" w:cs="宋体"/>
                      <w:i w:val="0"/>
                      <w:iCs w:val="0"/>
                      <w:color w:val="000000"/>
                      <w:spacing w:val="0"/>
                      <w:sz w:val="18"/>
                      <w:szCs w:val="18"/>
                      <w:u w:val="none"/>
                      <w:bdr w:val="none" w:color="auto" w:sz="0" w:space="0"/>
                    </w:rPr>
                    <w:t>7</w:t>
                  </w:r>
                </w:p>
              </w:tc>
              <w:tc>
                <w:tcPr>
                  <w:tcW w:w="222" w:type="pct"/>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pStyle w:val="5"/>
                    <w:keepNext w:val="0"/>
                    <w:keepLines w:val="0"/>
                    <w:widowControl/>
                    <w:suppressLineNumbers w:val="0"/>
                    <w:jc w:val="center"/>
                  </w:pPr>
                  <w:r>
                    <w:rPr>
                      <w:rFonts w:hint="eastAsia" w:ascii="宋体" w:hAnsi="宋体" w:eastAsia="宋体" w:cs="宋体"/>
                      <w:i w:val="0"/>
                      <w:iCs w:val="0"/>
                      <w:color w:val="000000"/>
                      <w:spacing w:val="0"/>
                      <w:sz w:val="18"/>
                      <w:szCs w:val="18"/>
                      <w:u w:val="none"/>
                      <w:bdr w:val="none" w:color="auto" w:sz="0" w:space="0"/>
                    </w:rPr>
                    <w:t>8</w:t>
                  </w:r>
                </w:p>
              </w:tc>
              <w:tc>
                <w:tcPr>
                  <w:tcW w:w="1156" w:type="pct"/>
                  <w:vMerge w:val="continue"/>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777" w:type="pct"/>
                  <w:vMerge w:val="continue"/>
                  <w:tcBorders>
                    <w:top w:val="single" w:color="006CB2" w:sz="6" w:space="0"/>
                    <w:left w:val="single" w:color="006CB2" w:sz="6" w:space="0"/>
                    <w:bottom w:val="single" w:color="006CB2" w:sz="6" w:space="0"/>
                    <w:right w:val="single" w:color="006CB2" w:sz="6" w:space="0"/>
                  </w:tcBorders>
                  <w:shd w:val="clear" w:color="auto" w:fill="C7DBFF"/>
                  <w:tcMar>
                    <w:top w:w="30" w:type="dxa"/>
                    <w:left w:w="0" w:type="dxa"/>
                    <w:bottom w:w="30" w:type="dxa"/>
                    <w:right w:w="0" w:type="dxa"/>
                  </w:tcMar>
                  <w:vAlign w:val="center"/>
                </w:tcPr>
                <w:p>
                  <w:pPr>
                    <w:jc w:val="center"/>
                    <w:rPr>
                      <w:rFonts w:hint="eastAsia" w:ascii="宋体" w:hAnsi="宋体" w:eastAsia="宋体" w:cs="宋体"/>
                      <w:i w:val="0"/>
                      <w:iCs w:val="0"/>
                      <w:color w:val="000000"/>
                      <w:spacing w:val="0"/>
                      <w:sz w:val="18"/>
                      <w:szCs w:val="18"/>
                      <w:u w:val="none"/>
                    </w:rPr>
                  </w:pP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通识教育课程</w:t>
                  </w: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通识模块一</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102985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中国近现代史纲要</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通识模块二</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103638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马克思主义基本原理概论</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通识模块三</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105202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体育I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体育教学部</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106001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卫生保健</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医疗健康服务中心</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105203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体育II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体育教学部</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101868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体育III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0.5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体育教学部</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101870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体育IV</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0.5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体育教学部</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0.5</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0.5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通识模块四</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100693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数学分析I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108418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高等代数I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105308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数学分析II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108419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高等代数II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105309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数学分析III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10</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通识模块五</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101156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形势与政策</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101938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思想道德修养与法律基础</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103486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军事理论</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保卫部</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1学分在线学习</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104792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毛泽东思想和中国特色社会主义理论体系概论</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104793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习近平新时代中国特色社会主义思想概论</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通识模块六</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101963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计算机原理与程序设计I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实验课程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通识模块七</w:t>
                  </w: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英语模块I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英语模块II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英语模块III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英语模块IV</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通识限定选修课</w:t>
                  </w: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通识模块一（经典阅读与历史文化传承）限选课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通识模块二（哲学思辨与伦理规范）限选课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通识模块三（艺术修养与运动健康）限选课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通识模块四（经济分析与数学思维）限选课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通识模块五（社会分析与公民素养）限选课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通识模块六（科技进步与科学精神）限选课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通识模块七（语言与跨文化沟通）限选课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color w:val="1F3D83"/>
                      <w:kern w:val="0"/>
                      <w:sz w:val="18"/>
                      <w:szCs w:val="18"/>
                      <w:bdr w:val="none" w:color="auto" w:sz="0" w:space="0"/>
                      <w:lang w:val="en-US" w:eastAsia="zh-CN" w:bidi="ar"/>
                    </w:rPr>
                    <w:t>选修学分</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从七个模块中选修五个模块</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通识选修课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67</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18</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8.5</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学科共同课</w:t>
                  </w: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必修课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105302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常微分方程</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100982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实变函数</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101314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财务会计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会计学院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102502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货币银行学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金融学院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100297</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国际经济学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102041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财政学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公共经济与管理学院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选修课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103239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MATLAB与数值计算</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实验课程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103241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C++程序设计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实验课程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100968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抽象代数</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105316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复变函数</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100409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泛函分析</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泛函分析与偏微分方程二选一，公司金融与管理会计二选一</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101110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公司金融</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金融学院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管理会计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会计学院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105319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偏微分方程</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color w:val="1F3D83"/>
                      <w:kern w:val="0"/>
                      <w:sz w:val="18"/>
                      <w:szCs w:val="18"/>
                      <w:bdr w:val="none" w:color="auto" w:sz="0" w:space="0"/>
                      <w:lang w:val="en-US" w:eastAsia="zh-CN" w:bidi="ar"/>
                    </w:rPr>
                    <w:t>选修学分</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6</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专业课</w:t>
                  </w: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必修课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101300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政治经济学I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100094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政治经济学II</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100399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概率论</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中级微观经济学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100855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运筹学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中级宏观经济学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102686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数理统计(数学)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105318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随机过程引论</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统计与管理学院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101411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金融随机分析初步</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博弈论与信息经济学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7</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选修课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100056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发展经济学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100107</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中国经济史</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100336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数值分析</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实验课程。数值分析与金融最优化二选一，其余四门课程四选一</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100755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实验经济学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101284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经济数据分析软件</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103260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金融最优化</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100019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外国经济史</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100083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中国经济思想史</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100412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数学模型</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实验课程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100625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中国经济分析</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100628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《资本论》选读</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100752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微观计量经济学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101973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大数据处理</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学科融合课程、实验课程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103237</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时间序列分析</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统计与管理学院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数学模型、大数据处理和时间序列分析三选二；其余五门课程五选二</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225" w:type="pct"/>
                  <w:gridSpan w:val="2"/>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color w:val="1F3D83"/>
                      <w:kern w:val="0"/>
                      <w:sz w:val="18"/>
                      <w:szCs w:val="18"/>
                      <w:bdr w:val="none" w:color="auto" w:sz="0" w:space="0"/>
                      <w:lang w:val="en-US" w:eastAsia="zh-CN" w:bidi="ar"/>
                    </w:rPr>
                    <w:t>选修学分</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7</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个性化培养课程</w:t>
                  </w:r>
                </w:p>
              </w:tc>
              <w:tc>
                <w:tcPr>
                  <w:tcW w:w="112" w:type="pct"/>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拔尖型</w:t>
                  </w:r>
                </w:p>
              </w:tc>
              <w:tc>
                <w:tcPr>
                  <w:tcW w:w="112" w:type="pct"/>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选修课</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102705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机器学习</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信息管理与工程学院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104629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金融市场概论</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100660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数理经济学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100850</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统计计算方法</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数理经济学与金融衍生品理论与应用二选一，其余四门课四选一</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101595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金融衍生品理论与应用</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102706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Python程序设计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信息管理与工程学院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实验课程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103245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金融案例与实证分析</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105313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组合优化</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100185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统计软件</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统计与管理学院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实验课程。统计软件与高级微观经济学二选一，其余的三选二</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101202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高级微观经济学</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101969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现代分析选讲</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101979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金融中的模型与计算</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学科融合课程、实验课程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103262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金融风险理论</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学科融合课程</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color w:val="1F3D83"/>
                      <w:kern w:val="0"/>
                      <w:sz w:val="18"/>
                      <w:szCs w:val="18"/>
                      <w:bdr w:val="none" w:color="auto" w:sz="0" w:space="0"/>
                      <w:lang w:val="en-US" w:eastAsia="zh-CN" w:bidi="ar"/>
                    </w:rPr>
                    <w:t>选修学分</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3"/>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2"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38" w:type="pct"/>
                  <w:gridSpan w:val="3"/>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第二课堂</w:t>
                  </w: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军训</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38" w:type="pct"/>
                  <w:gridSpan w:val="3"/>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体育锻炼</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rPr>
                <w:jc w:val="center"/>
              </w:trPr>
              <w:tc>
                <w:tcPr>
                  <w:tcW w:w="338" w:type="pct"/>
                  <w:gridSpan w:val="3"/>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计算机水平测试</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38" w:type="pct"/>
                  <w:gridSpan w:val="3"/>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实践教育</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38" w:type="pct"/>
                  <w:gridSpan w:val="3"/>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19</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gridSpan w:val="5"/>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毕业论文</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5"/>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毕业实习</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 </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5"/>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全程总计</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181</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26</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23</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21.5</w:t>
                  </w:r>
                </w:p>
              </w:tc>
              <w:tc>
                <w:tcPr>
                  <w:tcW w:w="21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25.5</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23</w:t>
                  </w:r>
                </w:p>
              </w:tc>
              <w:tc>
                <w:tcPr>
                  <w:tcW w:w="0" w:type="auto"/>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12</w:t>
                  </w:r>
                </w:p>
              </w:tc>
              <w:tc>
                <w:tcPr>
                  <w:tcW w:w="222"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w:t>
                  </w:r>
                </w:p>
              </w:tc>
              <w:tc>
                <w:tcPr>
                  <w:tcW w:w="1156"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777" w:type="pc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4"/>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备注</w:t>
                  </w:r>
                </w:p>
              </w:tc>
              <w:tc>
                <w:tcPr>
                  <w:tcW w:w="4331" w:type="pct"/>
                  <w:gridSpan w:val="12"/>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bl>
          <w:p>
            <w:pPr>
              <w:jc w:val="center"/>
              <w:rPr>
                <w:rFonts w:hint="default" w:ascii="Verdana" w:hAnsi="Verdana" w:cs="Verdana"/>
                <w:i w:val="0"/>
                <w:iCs w:val="0"/>
                <w:caps w:val="0"/>
                <w:color w:val="000000"/>
                <w:spacing w:val="0"/>
                <w:sz w:val="18"/>
                <w:szCs w:val="18"/>
              </w:rPr>
            </w:pPr>
          </w:p>
        </w:tc>
      </w:tr>
    </w:tbl>
    <w:p>
      <w:pPr>
        <w:spacing w:line="360" w:lineRule="auto"/>
        <w:ind w:firstLine="420"/>
        <w:rPr>
          <w:rFonts w:hint="eastAsia" w:ascii="宋体" w:hAnsi="宋体"/>
          <w:szCs w:val="21"/>
        </w:rPr>
      </w:pPr>
    </w:p>
    <w:sectPr>
      <w:pgSz w:w="11906" w:h="16838"/>
      <w:pgMar w:top="1440" w:right="1800" w:bottom="8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80"/>
        </w:tabs>
        <w:ind w:left="780" w:hanging="360"/>
      </w:pPr>
      <w:rPr>
        <w:rFonts w:hint="default"/>
        <w:b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DBjYmVhZjU2YzRiOTMzNWQ0MmViNDk0MWVlN2IifQ=="/>
  </w:docVars>
  <w:rsids>
    <w:rsidRoot w:val="006437A3"/>
    <w:rsid w:val="0002185D"/>
    <w:rsid w:val="000241F3"/>
    <w:rsid w:val="00037669"/>
    <w:rsid w:val="00042504"/>
    <w:rsid w:val="00064942"/>
    <w:rsid w:val="000F1F10"/>
    <w:rsid w:val="001311AA"/>
    <w:rsid w:val="00132B69"/>
    <w:rsid w:val="00157479"/>
    <w:rsid w:val="001D0A3B"/>
    <w:rsid w:val="0024507A"/>
    <w:rsid w:val="00246025"/>
    <w:rsid w:val="00255727"/>
    <w:rsid w:val="00264DE0"/>
    <w:rsid w:val="002B0B11"/>
    <w:rsid w:val="002B5420"/>
    <w:rsid w:val="0032603E"/>
    <w:rsid w:val="00375A19"/>
    <w:rsid w:val="00392132"/>
    <w:rsid w:val="003B6723"/>
    <w:rsid w:val="003B749D"/>
    <w:rsid w:val="003F264D"/>
    <w:rsid w:val="00417AEF"/>
    <w:rsid w:val="0044791B"/>
    <w:rsid w:val="004504C3"/>
    <w:rsid w:val="00461D43"/>
    <w:rsid w:val="0047321F"/>
    <w:rsid w:val="004A3660"/>
    <w:rsid w:val="004B2B62"/>
    <w:rsid w:val="00513027"/>
    <w:rsid w:val="00522A03"/>
    <w:rsid w:val="00546440"/>
    <w:rsid w:val="005535DC"/>
    <w:rsid w:val="00563B4B"/>
    <w:rsid w:val="005A11D6"/>
    <w:rsid w:val="005C528B"/>
    <w:rsid w:val="005F0198"/>
    <w:rsid w:val="005F2ED4"/>
    <w:rsid w:val="006019BD"/>
    <w:rsid w:val="00602C63"/>
    <w:rsid w:val="00640F32"/>
    <w:rsid w:val="006437A3"/>
    <w:rsid w:val="00672424"/>
    <w:rsid w:val="006822FD"/>
    <w:rsid w:val="006B2B7B"/>
    <w:rsid w:val="006B38B3"/>
    <w:rsid w:val="006C4911"/>
    <w:rsid w:val="006E7870"/>
    <w:rsid w:val="007C6FBC"/>
    <w:rsid w:val="007E16E4"/>
    <w:rsid w:val="00855DDF"/>
    <w:rsid w:val="0087057E"/>
    <w:rsid w:val="0087672C"/>
    <w:rsid w:val="008A792A"/>
    <w:rsid w:val="008B138F"/>
    <w:rsid w:val="008B2E84"/>
    <w:rsid w:val="008D0E5C"/>
    <w:rsid w:val="008F7145"/>
    <w:rsid w:val="009662A8"/>
    <w:rsid w:val="009B3A0D"/>
    <w:rsid w:val="009C6827"/>
    <w:rsid w:val="00A47773"/>
    <w:rsid w:val="00A55188"/>
    <w:rsid w:val="00A71940"/>
    <w:rsid w:val="00AC3211"/>
    <w:rsid w:val="00AF3F4B"/>
    <w:rsid w:val="00B75043"/>
    <w:rsid w:val="00BD3F1C"/>
    <w:rsid w:val="00BE0A8B"/>
    <w:rsid w:val="00BF1E78"/>
    <w:rsid w:val="00C2094B"/>
    <w:rsid w:val="00C32C8E"/>
    <w:rsid w:val="00C65C6F"/>
    <w:rsid w:val="00C814E9"/>
    <w:rsid w:val="00C95007"/>
    <w:rsid w:val="00D475FC"/>
    <w:rsid w:val="00D7317D"/>
    <w:rsid w:val="00D86FB7"/>
    <w:rsid w:val="00D94177"/>
    <w:rsid w:val="00DC3396"/>
    <w:rsid w:val="00E64910"/>
    <w:rsid w:val="00E73A66"/>
    <w:rsid w:val="00EB2BCB"/>
    <w:rsid w:val="00F45EB2"/>
    <w:rsid w:val="00FE1791"/>
    <w:rsid w:val="0688701A"/>
    <w:rsid w:val="07CD00AF"/>
    <w:rsid w:val="08C25A78"/>
    <w:rsid w:val="2A9775D2"/>
    <w:rsid w:val="32A619A4"/>
    <w:rsid w:val="3AA16633"/>
    <w:rsid w:val="40853857"/>
    <w:rsid w:val="40C478F0"/>
    <w:rsid w:val="567351CB"/>
    <w:rsid w:val="58DD79E4"/>
    <w:rsid w:val="6BFB28C2"/>
    <w:rsid w:val="6CB276F9"/>
    <w:rsid w:val="6F784C19"/>
    <w:rsid w:val="71387F31"/>
    <w:rsid w:val="795B5C21"/>
    <w:rsid w:val="7B7F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rPr>
  </w:style>
  <w:style w:type="paragraph" w:styleId="8">
    <w:name w:val="List Paragraph"/>
    <w:basedOn w:val="1"/>
    <w:qFormat/>
    <w:uiPriority w:val="34"/>
    <w:pPr>
      <w:widowControl/>
      <w:adjustRightInd w:val="0"/>
      <w:snapToGrid w:val="0"/>
      <w:spacing w:after="200"/>
      <w:ind w:firstLine="420"/>
      <w:jc w:val="left"/>
    </w:pPr>
    <w:rPr>
      <w:rFonts w:ascii="Tahoma" w:hAnsi="Tahoma" w:eastAsia="微软雅黑"/>
      <w:kern w:val="0"/>
      <w:sz w:val="22"/>
    </w:rPr>
  </w:style>
  <w:style w:type="character" w:customStyle="1" w:styleId="9">
    <w:name w:val="页眉 字符"/>
    <w:basedOn w:val="7"/>
    <w:link w:val="4"/>
    <w:qFormat/>
    <w:uiPriority w:val="0"/>
    <w:rPr>
      <w:rFonts w:ascii="Calibri" w:hAnsi="Calibri"/>
      <w:kern w:val="2"/>
      <w:sz w:val="18"/>
      <w:szCs w:val="18"/>
    </w:rPr>
  </w:style>
  <w:style w:type="character" w:customStyle="1" w:styleId="10">
    <w:name w:val="页脚 字符"/>
    <w:basedOn w:val="7"/>
    <w:link w:val="3"/>
    <w:qFormat/>
    <w:uiPriority w:val="0"/>
    <w:rPr>
      <w:rFonts w:ascii="Calibri" w:hAnsi="Calibri"/>
      <w:kern w:val="2"/>
      <w:sz w:val="18"/>
      <w:szCs w:val="18"/>
    </w:rPr>
  </w:style>
  <w:style w:type="character" w:customStyle="1" w:styleId="11">
    <w:name w:val="批注框文本 字符"/>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2349</Words>
  <Characters>2429</Characters>
  <Lines>18</Lines>
  <Paragraphs>5</Paragraphs>
  <TotalTime>37</TotalTime>
  <ScaleCrop>false</ScaleCrop>
  <LinksUpToDate>false</LinksUpToDate>
  <CharactersWithSpaces>2455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2022-05-14T01:16:00Z</dcterms:created>
  <dc:creator>hahaha</dc:creator>
  <cp:lastModifiedBy>刘lls</cp:lastModifiedBy>
  <dcterms:modified xsi:type="dcterms:W3CDTF">2022-11-24T02:52:21Z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0A111723A5F049B7BBADA9039EE71E65</vt:lpwstr>
  </property>
</Properties>
</file>